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tm2625587d1_s3.htm"/>
      <w:bookmarkStart w:id="1" w:name="kstm2625587d1_s3"/>
      <w:bookmarkEnd w:id="0"/>
      <w:bookmarkEnd w:id="1"/>
      <w:r>
        <w:rPr>
          <w:b/>
        </w:rPr>
        <w:t>As filed with the Securities and Exchange Commission on 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r>
      <w:r>
        <w:rPr>
          <w:rFonts w:ascii="Times New Roman;Times;Serif" w:hAnsi="Times New Roman;Times;Serif"/>
          <w:b/>
          <w:i/>
          <w:caps w:val="false"/>
          <w:smallCaps w:val="false"/>
          <w:sz w:val="20"/>
        </w:rPr>
        <w:t>UNDER</w:t>
      </w:r>
      <w:r>
        <w:rPr>
          <w:rFonts w:ascii="Times New Roman;Times;Serif" w:hAnsi="Times New Roman;Times;Serif"/>
          <w:b/>
          <w:i w:val="false"/>
          <w:caps w:val="false"/>
          <w:smallCaps w:val="false"/>
          <w:sz w:val="20"/>
        </w:rPr>
        <w:br/>
      </w: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QUOIN PHARMACEUTICALS LTD.</w:t>
      </w:r>
      <w:r>
        <w:rPr>
          <w:rFonts w:ascii="Times New Roman;Times;Serif" w:hAnsi="Times New Roman;Times;Serif"/>
          <w:b w:val="false"/>
          <w:i w:val="false"/>
          <w:caps w:val="false"/>
          <w:smallCaps w:val="false"/>
          <w:sz w:val="20"/>
        </w:rPr>
        <w:b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495"/>
        <w:gridCol w:w="60"/>
        <w:gridCol w:w="189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of Israel</w:t>
            </w:r>
          </w:p>
        </w:tc>
        <w:tc>
          <w:tcPr>
            <w:tcW w:w="6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92-2593104</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42127 Pleasant Forest Court</w:t>
        <w:br/>
        <w:t>Ashburn, VA 20148-7349</w:t>
        <w:br/>
        <w:t>(703) 980-4182</w:t>
      </w:r>
      <w:r>
        <w:rPr>
          <w:rFonts w:ascii="Times New Roman;Times;Serif" w:hAnsi="Times New Roman;Times;Serif"/>
          <w:b w:val="false"/>
          <w:i w:val="false"/>
          <w:caps w:val="false"/>
          <w:smallCaps w:val="false"/>
          <w:sz w:val="20"/>
        </w:rPr>
        <w:b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Michael Myers</w:t>
        <w:br/>
        <w:t>Chief Executive Officer</w:t>
        <w:br/>
        <w:t>Quoin Pharmaceuticals Ltd.</w:t>
        <w:br/>
        <w:t>42127 Pleasant Forest Ct</w:t>
        <w:br/>
        <w:t>Ashburn, VA 20148</w:t>
        <w:br/>
        <w:t>(703) 980-4182</w:t>
      </w:r>
      <w:r>
        <w:rPr>
          <w:rFonts w:ascii="Times New Roman;Times;Serif" w:hAnsi="Times New Roman;Times;Serif"/>
          <w:b w:val="false"/>
          <w:i w:val="false"/>
          <w:caps w:val="false"/>
          <w:smallCaps w:val="false"/>
          <w:sz w:val="20"/>
        </w:rPr>
        <w:b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120"/>
        <w:gridCol w:w="2375"/>
      </w:tblGrid>
      <w:tr>
        <w:trPr/>
        <w:tc>
          <w:tcPr>
            <w:tcW w:w="21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Melissa Palat Murawsky</w:t>
            </w:r>
            <w:r>
              <w:rPr>
                <w:rFonts w:ascii="Times New Roman;Times;Serif" w:hAnsi="Times New Roman;Times;Serif"/>
                <w:sz w:val="20"/>
              </w:rPr>
              <w:br/>
            </w:r>
            <w:r>
              <w:rPr>
                <w:rFonts w:ascii="Times New Roman;Times;Serif" w:hAnsi="Times New Roman;Times;Serif"/>
                <w:b/>
                <w:sz w:val="20"/>
              </w:rPr>
              <w:t>Peter I. Tsoflias</w:t>
              <w:br/>
              <w:t>Blank Rome LLP</w:t>
              <w:br/>
              <w:t>One Logan Square</w:t>
              <w:br/>
              <w:t>130 North 18th Street</w:t>
              <w:br/>
              <w:t>Philadelphia, PA 19103</w:t>
              <w:br/>
              <w:t>Tel: (215) 569-5500</w:t>
            </w:r>
          </w:p>
        </w:tc>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Jonathan Irom, Adv.</w:t>
              <w:br/>
              <w:t>Matthew Rudolph, Adv.</w:t>
              <w:br/>
              <w:t>Meitar | Law Offices</w:t>
              <w:br/>
              <w:t>16 Abba Hillel Silver Rd.</w:t>
              <w:br/>
              <w:t>Ramat Gan 5250608, Israel</w:t>
              <w:br/>
              <w:t>Tel: +972-3-610-3100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C00000"/>
          <w:sz w:val="20"/>
        </w:rPr>
      </w:pPr>
      <w:r>
        <w:rPr>
          <w:rFonts w:ascii="Times New Roman;Times;Serif" w:hAnsi="Times New Roman;Times;Serif"/>
          <w:b/>
          <w:i w:val="false"/>
          <w:caps w:val="false"/>
          <w:smallCaps w:val="false"/>
          <w:color w:val="C00000"/>
          <w:sz w:val="20"/>
        </w:rPr>
        <w:t>The information in this preliminary prospectus is not complete and may be changed. The Selling Shareholders named in this preliminary prospectus may not sell these securities until the registration statement filed with the Securities and Exchange Commission is declared effective. This preliminary prospectus is not an offer to sell these securities and the Selling Shareholders named in this prospectus are not soliciting offers to buy these securities in any state or other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2735"/>
        <w:gridCol w:w="3365"/>
      </w:tblGrid>
      <w:tr>
        <w:trPr/>
        <w:tc>
          <w:tcPr>
            <w:tcW w:w="2735" w:type="dxa"/>
            <w:tcBorders/>
            <w:vAlign w:val="center"/>
          </w:tcPr>
          <w:p>
            <w:pPr>
              <w:pStyle w:val="TableContents"/>
              <w:bidi w:val="0"/>
              <w:spacing w:before="0" w:after="283"/>
              <w:jc w:val="left"/>
              <w:rPr>
                <w:b/>
                <w:caps/>
                <w:sz w:val="20"/>
              </w:rPr>
            </w:pPr>
            <w:r>
              <w:rPr>
                <w:b/>
                <w:caps/>
                <w:sz w:val="20"/>
              </w:rPr>
              <w:t>PRELIMINARY PROSPECTUS</w:t>
            </w:r>
          </w:p>
        </w:tc>
        <w:tc>
          <w:tcPr>
            <w:tcW w:w="3365" w:type="dxa"/>
            <w:tcBorders/>
            <w:vAlign w:val="center"/>
          </w:tcPr>
          <w:p>
            <w:pPr>
              <w:pStyle w:val="TableContents"/>
              <w:bidi w:val="0"/>
              <w:spacing w:before="0" w:after="283"/>
              <w:jc w:val="right"/>
              <w:rPr>
                <w:b/>
                <w:caps/>
              </w:rPr>
            </w:pPr>
            <w:r>
              <w:rPr>
                <w:b/>
                <w:caps/>
              </w:rPr>
              <w:t>DATED September 18,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574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657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9,371,895 American Depositary Shares Representing 328,016,325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9,371,895 American Depositary Shares (“ADSs”) representing 328,016,325 ordinary shares, no par value per share (“Ordinary Shares”) of Quoin Pharmaceuticals Ltd. (the “Company” or “Quoin”) by the selling shareholders identified in this prospectus, including their pledgees, assignees or successors-in-interest (collectively, the “Selling Shareholders”). Throughout this prospectus references to ADSs mean ADSs or Ordinary Shares represented by such ADSs, as the case may be. The ADSs being registered for resale herewith consist of: (i) 2,445,800 ADSs (the “Offered ADSs”) which Offered ADSs were issued pursuant to that certain securities purchase agreement (the “Purchase Agreement”), dated as of August 27, 2026, by and among us and the purchasers named therein (the “Purchasers”); (ii) 3,802,130 ADSs (the “Pre-Funded ADSs”) issued or issuable upon the exercise of pre-funded warrants (the “Pre-Funded Warrants”) that were issued pursuant to the Purchase Agreement, and (iii) 3,123,965 ADSs (the “Ordinary Warrant ADSs”) issuable upon the exercise of ordinary warrants (the “Ordinary Warrants”) that were issued together with the Offered ADSs or the Pre-Funded Warrants, as applicable, pursuant to the Purchase Agreement. The ADSs being offered hereby were issued, or are issuable, pursuant to Pre-Funded Warrants or Ordinary Warrants issued, in a private placement transaction (the “Private Placement”) that closed on August 31, 2026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ADSs under this prospectus and will not receive any proceeds from the sale or other disposition of the ADSs representing Ordinary Shares covered hereby. However, we could receive up to approximately $19.1 million, less placement agent fees, if all of the Ordinary Warrants issued to the Selling Shareholders are exercised for cash. See “Use of Proceeds” beginning on page 9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ADSs covered by this prospectus could cause substantial dilution to our existing shareholders. The number of ADSs covered by this prospectus (and not currently outstanding) represents approximately 144.2% of the number of ADSs outstanding as of the date of this prospectus. The actual number of ADSs that we issue to the Selling Shareholders may be less than the aggregate number of ADSs covered by this prospectus. Please refer to the risk factor entitled “</w:t>
      </w:r>
      <w:r>
        <w:rPr>
          <w:rFonts w:ascii="Times New Roman;Times;Serif" w:hAnsi="Times New Roman;Times;Serif"/>
          <w:b w:val="false"/>
          <w:i/>
          <w:caps w:val="false"/>
          <w:smallCaps w:val="false"/>
          <w:sz w:val="20"/>
        </w:rPr>
        <w:t xml:space="preserve">The issuance of the ADSs covered by this prospectus could significantly increase the total number of ADSs in the public market and thereby cause our existing shareholders to experience substantial dilution” </w:t>
      </w:r>
      <w:r>
        <w:rPr>
          <w:rFonts w:ascii="Times New Roman;Times;Serif" w:hAnsi="Times New Roman;Times;Serif"/>
          <w:b w:val="false"/>
          <w:i w:val="false"/>
          <w:caps w:val="false"/>
          <w:smallCaps w:val="false"/>
          <w:sz w:val="20"/>
        </w:rPr>
        <w:t>on page 10 of this prospectus. For additional information on the terms of the Ordinary Warrants, you should refer to the section of this prospectus entitled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ADSs subject to resale hereunder will have been issued by us and received by the Selling Shareholders prior to any resale of such ADSs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the registration statement on Form S-3 of which this prospectus forms a part to fulfill certain contractual obligations to the Selling Shareholders relating to the resale by the Selling Shareholders of the ADSs offered hereby. See “Selling Shareholders” beginning on page 13 of this prospectus for more information about the Selling Shareholders. The registration of the Ordinary Shares to which this prospectus relates does not require the Selling Shareholders to sell any of their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identified in this prospectus, or their pledgees, assignees or their respective successors-in-interest, from time to time may offer and sell through public or private transactions at prevailing market prices, at prices related to prevailing market prices or at privately negotiated prices the ADSs held by them directly or through underwriters, agents or broker-dealers on terms to be determined at the time of sale, as described in more detail in this prospectus. See “Plan of Distribution” beginning on page 20 of this prospectus for more information about how the Selling Shareholders may sell their respective ADSs. The Selling Shareholders may be deemed “underwriters” within the meaning of Section 2(a)(11)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agreed, pursuant to a registration rights agreement, dated August 27, 2026, that we entered into with the Selling Shareholders (the “Registration Rights Agreement”), to bear all of the expenses in connection with the registration of the resale of the ADSs pursuant to this prospectus. The Selling Shareholders will pay or assume all commissions, discounts and fees of underwriters, agents, selling brokers or dealer managers and similar expenses, if any, attributable to their respective sales of such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and Exchange Commission rules and, as such, have elected to comply with certain reduced public company disclosure requirements for this prospectus and future filings. See “Prospectus Summary—Implications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(“Nasdaq”) under the symbol “QNRX.” On September 16, 2026, the closing price of our ADSs on Nasdaq was $6.90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ADSs involves risks. You should review carefully the risks and uncertainties described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this prospectus and under similar headings in the other documents that are incorporated by reference into this prospectus, as described beginning on page 5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 The securities are not being offered in any jurisdiction where the offer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4370"/>
        <w:gridCol w:w="245"/>
      </w:tblGrid>
      <w:tr>
        <w:trPr/>
        <w:tc>
          <w:tcPr>
            <w:tcW w:w="43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ii</w:t>
              </w:r>
            </w:hyperlink>
          </w:p>
        </w:tc>
      </w:tr>
      <w:tr>
        <w:trPr/>
        <w:tc>
          <w:tcPr>
            <w:tcW w:w="437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sz w:val="20"/>
                </w:rPr>
                <w:t>1</w:t>
              </w:r>
            </w:hyperlink>
          </w:p>
        </w:tc>
      </w:tr>
      <w:tr>
        <w:trPr/>
        <w:tc>
          <w:tcPr>
            <w:tcW w:w="43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The Offering</w:t>
              </w:r>
            </w:hyperlink>
          </w:p>
        </w:tc>
        <w:tc>
          <w:tcPr>
            <w:tcW w:w="24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sz w:val="20"/>
                </w:rPr>
                <w:t>3</w:t>
              </w:r>
            </w:hyperlink>
          </w:p>
        </w:tc>
      </w:tr>
      <w:tr>
        <w:trPr/>
        <w:tc>
          <w:tcPr>
            <w:tcW w:w="437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sz w:val="20"/>
                </w:rPr>
                <w:t>5</w:t>
              </w:r>
            </w:hyperlink>
          </w:p>
        </w:tc>
      </w:tr>
      <w:tr>
        <w:trPr/>
        <w:tc>
          <w:tcPr>
            <w:tcW w:w="43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sz w:val="20"/>
                </w:rPr>
                <w:t>8</w:t>
              </w:r>
            </w:hyperlink>
          </w:p>
        </w:tc>
      </w:tr>
      <w:tr>
        <w:trPr/>
        <w:tc>
          <w:tcPr>
            <w:tcW w:w="437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9</w:t>
              </w:r>
            </w:hyperlink>
          </w:p>
        </w:tc>
      </w:tr>
      <w:tr>
        <w:trPr/>
        <w:tc>
          <w:tcPr>
            <w:tcW w:w="43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Private Placement</w:t>
              </w:r>
            </w:hyperlink>
          </w:p>
        </w:tc>
        <w:tc>
          <w:tcPr>
            <w:tcW w:w="245"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b w:val="false"/>
                  <w:i w:val="false"/>
                  <w:caps w:val="false"/>
                  <w:smallCaps w:val="false"/>
                  <w:sz w:val="20"/>
                </w:rPr>
                <w:t>10</w:t>
              </w:r>
            </w:hyperlink>
          </w:p>
        </w:tc>
      </w:tr>
      <w:tr>
        <w:trPr/>
        <w:tc>
          <w:tcPr>
            <w:tcW w:w="437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Selling Shareholders</w:t>
              </w:r>
            </w:hyperlink>
          </w:p>
        </w:tc>
        <w:tc>
          <w:tcPr>
            <w:tcW w:w="24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b w:val="false"/>
                  <w:i w:val="false"/>
                  <w:caps w:val="false"/>
                  <w:smallCaps w:val="false"/>
                  <w:sz w:val="20"/>
                </w:rPr>
                <w:t>13</w:t>
              </w:r>
            </w:hyperlink>
          </w:p>
        </w:tc>
      </w:tr>
      <w:tr>
        <w:trPr/>
        <w:tc>
          <w:tcPr>
            <w:tcW w:w="43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val="false"/>
                  <w:i w:val="false"/>
                  <w:caps w:val="false"/>
                  <w:smallCaps w:val="false"/>
                  <w:sz w:val="20"/>
                </w:rPr>
                <w:t>20</w:t>
              </w:r>
            </w:hyperlink>
          </w:p>
        </w:tc>
      </w:tr>
      <w:tr>
        <w:trPr/>
        <w:tc>
          <w:tcPr>
            <w:tcW w:w="437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b w:val="false"/>
                  <w:i w:val="false"/>
                  <w:caps w:val="false"/>
                  <w:smallCaps w:val="false"/>
                  <w:sz w:val="20"/>
                </w:rPr>
                <w:t>22</w:t>
              </w:r>
            </w:hyperlink>
          </w:p>
        </w:tc>
      </w:tr>
      <w:tr>
        <w:trPr/>
        <w:tc>
          <w:tcPr>
            <w:tcW w:w="43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b w:val="false"/>
                  <w:i w:val="false"/>
                  <w:caps w:val="false"/>
                  <w:smallCaps w:val="false"/>
                  <w:sz w:val="20"/>
                </w:rPr>
                <w:t>22</w:t>
              </w:r>
            </w:hyperlink>
          </w:p>
        </w:tc>
      </w:tr>
      <w:tr>
        <w:trPr/>
        <w:tc>
          <w:tcPr>
            <w:tcW w:w="437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b w:val="false"/>
                  <w:i w:val="false"/>
                  <w:caps w:val="false"/>
                  <w:smallCaps w:val="false"/>
                  <w:sz w:val="20"/>
                </w:rPr>
                <w:t>23</w:t>
              </w:r>
            </w:hyperlink>
          </w:p>
        </w:tc>
      </w:tr>
      <w:tr>
        <w:trPr/>
        <w:tc>
          <w:tcPr>
            <w:tcW w:w="43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CCEEFF" w:val="clear"/>
            <w:vAlign w:val="center"/>
          </w:tcPr>
          <w:p>
            <w:pPr>
              <w:pStyle w:val="TableContents"/>
              <w:bidi w:val="0"/>
              <w:spacing w:before="0" w:after="283"/>
              <w:jc w:val="center"/>
              <w:rPr/>
            </w:pPr>
            <w:hyperlink w:anchor="a_013">
              <w:r>
                <w:rPr>
                  <w:rStyle w:val="InternetLink"/>
                  <w:rFonts w:ascii="Times New Roman;Times;Serif" w:hAnsi="Times New Roman;Times;Serif"/>
                  <w:b w:val="false"/>
                  <w:i w:val="false"/>
                  <w:caps w:val="false"/>
                  <w:smallCaps w:val="false"/>
                  <w:sz w:val="20"/>
                </w:rPr>
                <w:t>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containing this prospectus, including the exhibits to the registration statement, provides additional information about us and the ADSs offered under this prospectus. The registration statement, including the exhibits, can be read on our website and the website of the Securities and Exchange Commission.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contained in, and that can be accessed through, our web site, </w:t>
      </w:r>
      <w:r>
        <w:rPr>
          <w:rFonts w:ascii="Times New Roman;Times;Serif" w:hAnsi="Times New Roman;Times;Serif"/>
          <w:b w:val="false"/>
          <w:i/>
          <w:caps w:val="false"/>
          <w:smallCaps w:val="false"/>
          <w:sz w:val="20"/>
        </w:rPr>
        <w:t>www.quoinpharma.com</w:t>
      </w:r>
      <w:r>
        <w:rPr>
          <w:rFonts w:ascii="Times New Roman;Times;Serif" w:hAnsi="Times New Roman;Times;Serif"/>
          <w:b w:val="false"/>
          <w:i w:val="false"/>
          <w:caps w:val="false"/>
          <w:smallCaps w:val="false"/>
          <w:sz w:val="20"/>
        </w:rPr>
        <w:t>, shall not be deemed to be part of this prospectus or incorporated herein by reference and should not be relied upon by any prospective investors for the purposes of determining whether to purchase the ADSs offered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in this prospectus to the terms “Quoin,” “Quoin Ltd.,” the “Company,” “us,” “we”, “our” and the “Registrant” refer to Quoin Pharmaceuticals Ltd., an Israeli company, and its consolidated subsidiaries, and “this offering” refers to the offering contemplated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this registration process, the Selling Shareholders may, from time to time, sell the securities offered by them described in this prospectus. We will not receive any proceeds from the sale by the Selling Shareholders of the ADSs offered by them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ADSs the Selling Shareholders may offer. A prospectus supplement may also add, update or change information contained in this prospectus. To the extent that any statement made in an accompanying prospectus supplement is inconsistent with statements made in this prospectus, the statements made in this prospectus will be deemed modified or superseded by those made in the accompanying prospectus supplement. You should read both this prospectus and any accompanying prospectus supplement together with the additional information described under the headings “Where You Can Find More Information” and “Incorporation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any information or to make any representations other than those contained, or incorporated by reference, in this prospectus, any post-effective amendment, or any applicable prospectus supplement or free-writing prospectus prepared by or on behalf of us or to which we have referred you. We and the Selling Shareholders take no responsibility for and can provide no assurance as to the reliability of any other information that others may give you. This prospectus is an offer to sell only the ADSs offered hereby, but only under circumstances and in jurisdictions where it is lawful to do so.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are sold, on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5" w:color="000000"/>
        </w:rPr>
      </w:pPr>
      <w:bookmarkStart w:id="3" w:name="a_002"/>
      <w:bookmarkEnd w:id="3"/>
      <w:r>
        <w:rPr>
          <w:rFonts w:ascii="Times New Roman;Times;Serif" w:hAnsi="Times New Roman;Times;Serif"/>
          <w:b/>
          <w:i w:val="false"/>
          <w:caps/>
          <w:sz w:val="20"/>
          <w:bdr w:val="single" w:sz="8" w:space="5" w:color="000000"/>
        </w:rPr>
        <w:t>Prospectus Summary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contains basic information about us and this offering. Because it is a summary, it does not contain all of the information that you should consider before deciding to invest in our securities. Before you decide to invest in our securities, you should read this entire prospectus carefully, any related free writing prospectus that we have authorized for use in connection with the offering and the documents incorporated by reference herein, including the information included under the heading titled “Risk Factors.”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late-stage clinical specialty pharmaceutical company focused on the development and commercialization of therapeutic products that treat rare and orphan diseases for which there are currently either no approved or very limited treatments or cures. Our lead product, QRX003, is under clinical development as a potential treatment for Netherton Syndrome, a rare hereditary genetic disease. QRX003 is entering pivotal registrational clinical testing under an open IND application with the FDA. We have opened six clinical sites in the U.S. and three in the UK along with international sites that we may potentially open in Spain, France and the Netherlands. QRX003 is currently being tested in eight pediatric NS patients in a Compassionate Use program in Ireland, Austria, the Netherlands and New Zealand and an additional three pediatric patients are expected to be enrolled this year. QRX003 is also being developed as a potential treatment for Peeling Skin Syndrome. We submitted an IND application for QRX003 in Peeling Skin Syndrome in the second quarter of 2026, which was cleared by the FDA on July 9, 2026 and plan to initiate a Phase 2/3 study in the second half of 2026. QRX003 has received Rare Pediatric Disease Designation in the US for both Netherton Syndrome and Peeling Skin Syndrome. We have also entered into 9 commercial partnerships for QRX003 spanning 61 countries outside of our core commercial territories of the U.S., Western Europe and Japan. These partnership countries include Canada, Australia, New Zealand, the Middle East, China, Taiwan, Hong Kong, Singapore, Israel, Central and Eastern Europe, Turkey as well as several countries in Latin America. We entered into a Research Agreement with QUT, under which we have obtained an option for a global license to QRX008 for the potential treatment of scleroderma, as well as a Research Agreement with UCC for the development of novel topical formulations of rapamycin (sirolimus), QRX009, as potential treatments for a number of rare and orphan diseases for which there are either limited or no approved therapies or cures, including Pachyonychia Congenita, Gorlin Syndrome, Tuberous Sclerosis Complex, microcystic lymphatic malformations, venous malformations and angiofibromas, as well as other indications that the Company is assessing. We are planning to initiate investigator-led clinical studies in Pachyonychia Congenita, Gorlin Syndrome and Tuberous Sclerosis Complex.</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mission is to develop and commercialize proprietary therapeutic drug products that treat rare and orphan diseases, particularly for those diseases where no approved treatment currently exists. To achieve this, we plan to:</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 the late-stage clinical testing of QRX003 in NS and, if successful, file for marketing approval in the United States, Europe, Japan and the other territories for which we have commercial agreements in place;</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prepare to commercialize QRX003 by (i) establishing our own sales infrastructure in the U.S., Europe, and Japan and (ii) work with our distribution partners to commercialize the product in Canada, Australia/New Zealand, the Middle East, China, Hong Kong, Taiwan, Latin America, Central and Eastern Europe, Turkey and Singapore;</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 the development of QRX003 for Peeling Skin Syndrome and related rare, genetic skin diseases;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commence clinical testing of topical rapamycin, QRX009, in the selected indications;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pursue business development activities by seeking partnering, licensing, merger and acquisition opportunities or other transactions to further expand our pipeline and drug-development capabilities.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To date, no products have been commercialized and no revenue has been generated. We do not expect to generate revenue from product sales unless and until we successfully complete development and obtain marketing approval for one or more of our product candidates, which we expect will take a number of years and is subject to significant uncertainty.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Smaller Reporting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2002, reduced disclosure about our executive compensation arrangements and the requirements to provide only two years of audited financial statements in our annual reports and registration statements. We will continue to be a “smaller reporting company” as long as (1) the market value of our ADSs held by non-affiliates is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SEC filings due to our status as a “smaller reporting company” may make it harder for investors to analyze our results of operations and financial prospects.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Company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under the laws of the State of Israel in 1986 under the name Montiger Ltd. Between 1986 and 2021, we underwent several name changes, including the name change to Cellect Biotechnology Ltd. (“Cellect”). On October 28, 2021, Cellect completed the business combination with Quoin Pharmaceuticals, Inc., a Delaware corporation (“Quoin Inc.”), in accordance with the terms of the Agreement and Plan of Merger and Reorganization, dated as of March 24, 2021, by and among Cellect, Quoin Inc. and CellMSC, Inc., a Delaware corporation and wholly-owned subsidiary of Cellect (“Merger Sub”), pursuant to which Merger Sub merged with and into Quoin Inc., with Quoin Inc. surviving as a wholly-owned subsidiary of Cellect (the “Merger”). Immediately after completion of the Merger, Cellect changed its name to “Quoin Pharmaceuticals Ltd.”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Prior to January 1, 2023, we qualified as a “foreign private issuer” as such term is defined in Rule 405 under the Securities Act. Since January 1, 2023, we have been obligated to file or furnish reports, proxy statements, and other information on U.S. domestic issuer forms with the SEC, which are more detailed and extensive in certain respects, and which must be filed more promptly, than the forms available to a foreign private issuer.</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address of our executive corporate offices is 42127 Pleasant Forest Ct., Ashburn, VA 20148, and our telephone number is (703) 980-4182. Our website is </w:t>
      </w:r>
      <w:r>
        <w:rPr>
          <w:rFonts w:ascii="Times New Roman;Times;Serif" w:hAnsi="Times New Roman;Times;Serif"/>
          <w:b w:val="false"/>
          <w:i/>
          <w:caps w:val="false"/>
          <w:smallCaps w:val="false"/>
          <w:sz w:val="20"/>
          <w:bdr w:val="single" w:sz="8" w:space="5" w:color="000000"/>
        </w:rPr>
        <w:t>www.quoinpharma.com</w:t>
      </w:r>
      <w:r>
        <w:rPr>
          <w:rFonts w:ascii="Times New Roman;Times;Serif" w:hAnsi="Times New Roman;Times;Serif"/>
          <w:b w:val="false"/>
          <w:i w:val="false"/>
          <w:caps w:val="false"/>
          <w:smallCaps w:val="false"/>
          <w:sz w:val="20"/>
          <w:bdr w:val="single" w:sz="8" w:space="5" w:color="000000"/>
        </w:rPr>
        <w:t>. Information contained on or accessible through this website is not incorporated by reference in, or otherwise a part of, this prospectus, and any references to this website are intended to be inactive textual references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5" w:color="000000"/>
        </w:rPr>
      </w:pPr>
      <w:bookmarkStart w:id="4" w:name="a_003"/>
      <w:bookmarkEnd w:id="4"/>
      <w:r>
        <w:rPr>
          <w:rFonts w:ascii="Times New Roman;Times;Serif" w:hAnsi="Times New Roman;Times;Serif"/>
          <w:b/>
          <w:i w:val="false"/>
          <w:caps/>
          <w:sz w:val="20"/>
          <w:bdr w:val="single" w:sz="8" w:space="5" w:color="000000"/>
        </w:rPr>
        <w:t>The Offering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relates to the resale or other disposition from time to time by the Selling Shareholders identified in this prospectus of up to 9,371,895 ADSs. None of the ADSs registered for resale hereby are being offered for sale by us.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75"/>
        <w:gridCol w:w="60"/>
        <w:gridCol w:w="8870"/>
      </w:tblGrid>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ADSs offered by the Selling Shareholders</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9,371,895 ADSs, consisting of: (i) 2,445,800 Offered ADSs issued pursuant to the Purchase Agreement, (ii) 3,802,130 Pre-Funded ADSs issued or issuable upon the exercise of the Pre-Funded Warrants, and (iii) 3,123,965 Ordinary Warrant ADSs issuable upon the exercise of Ordinary Warrants.</w:t>
            </w:r>
          </w:p>
        </w:tc>
      </w:tr>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ADSs outstanding prior to this offering</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4,804,161 ADSs (including the Offered ADSs)</w:t>
            </w:r>
          </w:p>
        </w:tc>
      </w:tr>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ADSs to be outstanding after this offering</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11,730,256 ADSs, assuming the exercise in full for cash of all Pre-Funded Warrants and Ordinary Warrants</w:t>
            </w:r>
          </w:p>
        </w:tc>
      </w:tr>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of the ADSs</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terms of the Registration Rights Agreement, we agreed to file a registration statement (the “Initial Registration Statement”) with the SEC registering the resale of the Offered ADSs, the Pre-Funded ADSs, and the Ordinary Warrant ADSs (collectively, the “Resale ADSs”) no later than 30 days after the Closing Date, to use commercially reasonable efforts to have the registration statement declared effective at the earliest possible date but no later than the earlier of (a) the 60th calendar day following the initial filing date of the Initial Registration Statement if the SEC notifies us that it will review the Initial Registration Statement, and (b) the fifth business day after the date we are notified (orally or in writing, whichever is earlier) by the SEC that the Initial Registration Statement will not be “reviewed” or will not be subject to further review. The Registration Rights Agreement further provides that we shall use commercially reasonable efforts to keep such registration statement continuously effective and available for resale of the Offered ADSs, the Pre-Funded ADSs, and the Ordinary Warrant ADSs until the earlier of (i) the date on which the Selling Shareholders shall have resold all such ADSs, and (ii) the date on which such securities may be resold by the Selling Shareholders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The registration statement on Form S-3, of which this prospectus forms a part, is being filed to satisfy the requirement to register for resale the Resale ADSs.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22"/>
        <w:gridCol w:w="60"/>
        <w:gridCol w:w="8923"/>
      </w:tblGrid>
      <w:tr>
        <w:trPr/>
        <w:tc>
          <w:tcPr>
            <w:tcW w:w="12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Shareholders will receive all of the proceeds from the sale of the ADSs sold by them pursuant to this prospectus. We will not receive any proceeds from the sale of ADSs by the Selling Shareholders. However, we could receive up to $19.1 million, less placement agent fees,  if all of the Ordinary Warrants issued to the Selling Shareholders in the Private Placement are exercised for cash. See “Use of Proceeds.”</w:t>
            </w:r>
          </w:p>
        </w:tc>
      </w:tr>
      <w:tr>
        <w:trPr/>
        <w:tc>
          <w:tcPr>
            <w:tcW w:w="12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of Distribution</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Shareholders named in this prospectus, or their pledgees, assignees and successors-in-interest, may offer or sell the ADSs offered hereby from time to time through public or private transactions at prevailing market prices, at prices related to prevailing market prices or at privately negotiated prices. The Selling Shareholders may also resell the ADSs to or through underwriters, broker-dealers or agents, who may receive compensation in the form of discounts, concessions or commissions. See “Plan of Distribution.”</w:t>
            </w:r>
          </w:p>
        </w:tc>
      </w:tr>
      <w:tr>
        <w:trPr/>
        <w:tc>
          <w:tcPr>
            <w:tcW w:w="12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“Risk Factors” beginning on page 5 of this prospectus and in the documents incorporated by reference in this prospectus and the other information included in this prospectus for a discussion of factors you should carefully consider before investing in our securities.</w:t>
            </w:r>
          </w:p>
        </w:tc>
      </w:tr>
      <w:tr>
        <w:trPr/>
        <w:tc>
          <w:tcPr>
            <w:tcW w:w="122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Nasdaq Capital Market</w:t>
              <w:br/>
              <w:t>trading symbol</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ADSs are listed on Nasdaq under the symbol “QNRX.”</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information above is based on 168,145,635 Ordinary Shares represented by 4,804,161 ADSs outstanding as of September 16, 2026, with each ADS representing 35 Ordinary Shares, and excludes the following: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36,071,630 Ordinary Shares represented by 1,030,618 ADSs issuable upon the exercise of outstanding options, which have a weighted-average exercise price $14.79 per ADS;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26,407,430 Ordinary Shares represented by 754,498 ADSs issuable upon the exercise of outstanding pre-funded warrants, which have an exercise price of $0.0001 per ADS;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310,951,297 Ordinary Shares represented by 8,884,323 ADSs issuable upon the exercise of outstanding warrants, which have a weighted-average exercise price of $12.04 per ADS;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1,003,975 Ordinary Shares represented by 28,685 ADS issuable upon the exercise of outstanding Ordinary Warrants issued in the Private Placement to the Insider Participants (as defined below);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36,716,788 Ordinary Shares represented by 1,049,051 ADSs reserved for future issuance under our 2025 Equity Incentive Plan.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contained in this prospectus assumes no exercise of the outstanding options or warrants described in the bullets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ADSs involves a high degree of risk. Before deciding whether to invest in our ADSs, you should consider carefully the risks and uncertainties described below, together with all of the other information included or incorporated by reference in this prospectus, including the risks and uncertainties discussed under “Risk Factors” in our most recent Annual Report on Form 10-K and our subsequent Quarterly Reports on Form 10-Q, which are incorporated by reference in this prospectus, as well as any updates thereto contained in subsequent filings with the SEC, before deciding whether to purchase our ADSs in this offering. All of these risk factors are incorporated herein in their entirety. The risks described below and incorporated by reference are material risks currently known, expected or reasonably foreseeable by us. However, the risks described below and incorporated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ADSs to decline, resulting in a loss of all or part of your investment. For more information, see the section entitled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ADSs in the public market could adversely affect the prevailing market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up to 9,371,895 ADSs, which is a significant number of ADSs compared to the current number of ADSs in the public market. Sales of substantial amounts of ADSs in the public market, or the perception that such sales might occur, could adversely affect the market price of our ADSs. We cannot predict if and when the Selling Shareholders may sell such ADSs in the public markets. Furthermore, in the future, we may issue additional ADSs or other equity or debt securities exercisable or convertible into ADSs. Any such issuance could result in substantial dilution to our existing shareholders and could cause the market price of our securities to decline.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ADSs covered by this prospectus could significantly increase the total number of ADSs in the public market and thereby cause our existing shareholders to experience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16, 2026, there were 4,804,161 ADSs outstanding (including the Offered ADSs). The number of ADSs covered by this prospectus and not currently outstanding (which consists of 3,802,130 Pre-Funded ADSs and 3,123,965 Ordinary Warrant ADSs) represents approximately 144.2% of the number of ADSs outstanding as of the date of this prospectus. As a result, if we issue the maximum number of ADSs that are being registered hereunder, an existing shareholder’s proportionate interest in us will be substantially diluted. The actual number of ADSs that we issue to the Selling Shareholders may be less than the aggregate number of ADSs covered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ADSs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ADSs in this offering at different times will likely pay different prices, and so may experience different levels of dilution and different outcomes in their investment results. The Selling Shareholders may sell such ADSs at different times and at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additional securities available for issuance, which, if issued, could adversely affect the rights of the holders of our ADSs.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time-to-time issue additional ADSs. In addition, as opportunities present themselves, we may enter into financing or similar arrangements in the future, including the issuance of debt securities or ADSs. Any future issuances of ADSs or securities convertible into ADSs would further dilute the percentage ownership of us held by holders of ADSs. In addition, the issuance of certain securities may be used as an “anti-takeover” device without further action on the part of our shareholders, and may adversely affect the holders of our ADSs. Pursuant to the Purchase Agreement, we have agreed to hold a meeting of shareholders within 90 days after the closing of the Private Placement for the purpose of seeking shareholder approval to amend any limitation on ownership of Ordinary Shares (including Ordinary Shares represented by ADSs) imposed on (a) the Purchasers and (b) the investors in the Company’s October 2025 private placement, in each case so that such limitation (including, without limitation, any beneficial ownership limitation and any corresponding limitation on voting power) is increased from 4.99% to 9.99% of the number of Ordinary Shares (including Ordinary Shares represented by ADSs) outstanding immediately after giving effect to the issuance of the applicable securities, both for purposes of Section 13(d) of the Exchange Act and for purposes of Section 270(5) under the Companies Law. If shareholder approval is obtained, and holders elect to increase their 4.99% limitations to up to 9.99%, such holders could accumulate and retain a significantly larger percentage of our outstanding Ordinary Shares and voting power, which could result in a greater concentration of voting power among a smaller number of holders and reduce the ability of other shareholders to influence corporate decisions. We have not paid, and do not intend to pay, dividends on our Ordinary Shares and, therefore, unless our traded securities appreciate in value, our investors may not benefit from holding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and we do not anticipate paying any cash dividends on our Ordinary Shares in the foreseeable future. Moreover, the Israeli Companies Law, 5759-1999 (the “Companies Law”) imposes certain restrictions on our ability to declare and pay dividends. As a result, investors in our ADSs or Ordinary Shares will not be able to benefit from owning these securities unless their market price becomes greater than the price paid by such investors and they are able to sell such securities. We cannot assure you that shareholders will ever be able to resell our securities at a price in excess of the price paid.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Purchase Agreement, we are subject to certain restrictive covenants that may make it difficult to procure additional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among others, various restrictive covenants which may make it difficult for us to procure financing. Pursuant to the Purchase Agreement, we agreed, subject to certain exceptions, to not enter into any equity financings until the later of (a) 90 days after the Closing Date and (b) the business day immediately following the effective date of the registration statement filed pursuant to the Registration Rights Agreement. 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Purchasers, which such Purchasers are not obligated to grant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need for future financing may result in the issuance of additional securities that will cause investors to experience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may vary from those now planned depending upon numerous factors. We expect to require additional capital until our operations generate sufficient revenue to cover our expenses. Accordingly, we will need to obtain additional funding in connection with our continuing operations.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forth in the Purchase Agreement, we may sell ADSs or other securities in another offering at a price per ADS that is less than the price per ADS that was paid by Purchasers in this offering, and investors purchasing ADSs or other securities in the future could have rights superior to those of existing shareholders.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that involve risks and uncertainties. Our actual results could differ materially from those discussed in the forward-looking statements. The statements contained in this prospectus and the documents incorporated by reference herein that are not purely historical are forward-looking statements within the meaning of Section 27A of the Securities Act and Section 21E of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the prospectus titled “Risk Factors.” Furthermore, such forward-looking statements speak only as of the date of this prospectus. Except as required by law, we undertake no obligation to update any forward-looking statements to reflect events or circumstances after the date of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consider our forward-looking statements in light of those risks as you read this prospectus and the documents incorporated by reference herein.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and the documents incorporated by reference herein is accurate as of any date other than as of the date of this prospectus or that any information incorporated by reference into this prospectus is accurate as of any date other than the date of the document so incorporated by reference.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ADSs, you should consider carefully all of the factors set forth or referred to in this prospectus and the documents incorporated by reference that could cause actual results to differ.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ADSs by the Selling Shareholders. Accordingly, we will not receive any proceeds from the sale of the ADSs that may be sold from time to time pursuant to this prospectus. See “Plan of Distribution” elsewhere in this prospectus for more information. We will, however, receive up to an aggregate of approximately $19.1 million in cash, less placement agent fees, from the exercise of the Ordinary Warrants. We intend to use the proceeds for general corporate purposes, which may include operating expenses, research and development, including completion of clinical development of QRX003 for Netherton Syndrome, working capital, future acquisitions and general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Private Placement transaction and the related agreements. Copies of the related agreements are filed as exhibits to the registration statement of which this prospectus forms a part. You are encouraged to review the full text of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the Purchase Agreement with the Purchasers for the issuance and sale of securities in the Private Placement for gross proceeds at the Closing Date of approximately $30.8 million. The Purchase Agreement provides for the issuance and sale of (i) Ordinary Shares represented by 2,503,170 Offered ADSs, (ii) Ordinary Shares represented by 3,802,130 Pre-Funded ADSs, together with (iii) Ordinary Warrants to purchase Ordinary Shares represented by up to 3,152,650 Ordinary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ADSs and accompanying Ordinary Warrants were sold at a combined purchase price of $4.88 (the “Unit Purchase Price”), and the Pre-Funded Warrants and accompanying Ordinary Warrants were sold at a combined purchase price of $4.8799, which equals the Unit Purchase Price less $0.0001, which is in turn equal to the exercise price of each Pre-Funded Warrant. The Unit Purchase Price was equal to the Nasdaq Minimum Price, as defined in Nasdaq Listing Rule 5635(d), plus $0.0625.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directors and officers (the “Insider Participants”) participated in the Private Placement: Dr. Michael Myers, our Chief Executive Officer and a member of our Board of Directors, Denise Carter, our Chief Operating Officer and a member of our Board of Directors; Sally Lawlor, our Chief Financial Officer and James Culverwell, a member of our Board of Directors. The Insider Participants purchased an aggregate of 57,370 Offered ADSs and 28,865 accompanying Ordinary Warrants for a total purchase price of approximately $280,000, at a combined purchase price of $4.88 per Offered ADS and accompanying Ordinary Warrant. The Insider Participants’ purchase price complied with the Nasdaq consolidated closing bid price rule. The Insider Participants’ participation in the Private Placement was approved by both our Audit Committee and our Board of Directors. The Insider Participants are not participating in this offering and are not included as Selling Shareholders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August 31, 2026. We received net proceeds of approximately $29.0 million from the Private Placement on the Closing Date, after deducting estimated offering expenses payable by us, including placement agent fees and expenses. Leerink Partners served as lead placement agent in connection with the Private Placement, and BTIG and Lake Street acted as co-placement agents. We paid to the placement agents (i) placement fees equal in the aggregate to 6.0% of the aggregate gross proceeds of the Private Placement, and (ii) reimbursement for reasonable out-of-pocket expenses. The placement agents are entitled to additional placement fees equal to 6.0% of the cash exercise fees we receive for all cash exercises of the Ordinary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the Pre-Funded Warrants or the Ordinary Warrants may not exercise any portion of such holder’s Pre-Funded Warrants or Ordinary Warrants for ADSs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 (the “Beneficial Ownership Limitation”). In addition, a holder of the Pre-Funded Warrants or the Ordinary Warrants may not exercise any portion of such holder’s Pre-Funded Warrants or Ordinary Warrants for ADSs to the extent that the holder, together with its affiliates, would hold more than 4.99% of our voting power (“Voting Limitation”). By written notice to us, a holder of Pre-Funded Warrants or Ordinary Warrants may from time to time increase or decrease the 4.99% limitations to any other percentage not in excess of 9.99% specified in such notice; provided that any increase in such beneficial ownership limitation will not be effective until the 61st day after such notice is delivered to us; provided further, that any such increase will not be effective until after obtaining the shareholder approval described under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Pre-Funded Warrants. </w:t>
      </w:r>
      <w:r>
        <w:rPr>
          <w:rFonts w:ascii="Times New Roman;Times;Serif" w:hAnsi="Times New Roman;Times;Serif"/>
          <w:b w:val="false"/>
          <w:i w:val="false"/>
          <w:caps w:val="false"/>
          <w:smallCaps w:val="false"/>
          <w:sz w:val="20"/>
        </w:rPr>
        <w:t>The Pre-Funded Warrants have an exercise price of $0.0001 per ADS. The Pre-Funded Warrants are exercisable at any time after their original issuance, subject to the Beneficial Ownership Limitation, and will not expire until exercised in full. In addition, the Pre-Funded Warrants may be exercised, in whole or in part, any time after issuance by means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Warrants</w:t>
      </w:r>
      <w:r>
        <w:rPr>
          <w:rFonts w:ascii="Times New Roman;Times;Serif" w:hAnsi="Times New Roman;Times;Serif"/>
          <w:b w:val="false"/>
          <w:i w:val="false"/>
          <w:caps w:val="false"/>
          <w:smallCaps w:val="false"/>
          <w:sz w:val="20"/>
        </w:rPr>
        <w:t>. The Ordinary Warrants are exercisable at any time after their original issuance, subject to the Beneficial Ownership Limitation. The Ordinary Warrants have an exercise price of $6.10 per ADS and may be exercised until the earlier of (i) five years from the Closing Date or (ii) 30 days after our public announcement that the primary endpoint has been met in the clinical trial CL-QRX003-004 for the treatment of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exercise on a date that is six months after the issuance of the Ordinary Warrants (the “Cashless Exercise Deadline”) there is no effective registration statement registering, or the prospectus contained therein is not available for the resale of, the Ordinary Warrant ADSs, the Ordinary Warrants may be exercised, in whole or in part, at such time by means of a “cashless exercise,” provided that if the SEC is closed for operations due to a government shutdown the Cashless Exercise Deadline shall be extended by the same amount of days that the SEC remains closed for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ADSs issuable upon exercise of the Pre-Funded Warrants and the Ordinary Warrants are subject to appropriate adjustment in the event of stock dividends, stock splits, changes in ADS ratio, reorganizations or similar events affecting our ADSs and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Pre-Funded Warrants or the Ordinary Warrants and is qualified in its entirety by reference to the full text of such documents, which are filed as exhibits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by us, customary conditions to closing, indemnification obligations of the parties signatory thereto, including for liabilities under the Securities Act,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the Purchase Agreement, we agreed, subject to certain exceptions, to not enter into any equity financings until the later of (a) 90 days after the Closing Date and (b) the business day immediately following the effective date of the registration statement filed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further provides for us to hold a meeting of shareholders within 90 days after the Closing Date for the purpose of seeking shareholder approval to amend any limitation on ownership of Ordinary Shares (including Ordinary Shares represented by ADSs) imposed on (a) the Purchasers and (b) the investors under that certain Securities Purchase Agreement, dated as of October 10, 2025, by and among us and the investors party thereto (the “October 2025 Purchase Agreement”) in each case so that such limitation (including, without limitation, the Beneficial Ownership Limitation and any corresponding limitation on voting power) is increased from 4.99% to 9.99% of the number of Ordinary Shares (including Ordinary Shares represented by ADSs) outstanding immediately after giving effect to the issuance of the applicable securities, both for purposes of Section 13(d) of the Exchange Act and for purposes of Section 270(5) under the Companies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Purchase Agreement and is qualified in its entirety by reference to the full text of the form of such document, which is filed as an exhibit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entered into the Registration Rights Agreement, pursuant to which we agreed to prepare and file a registration statement (the “Initial Registration Statement”) with the SEC registering the resale of the Resale ADSs no later than 30 days after the Closing Date, to use our commercially reasonable efforts to have such registration statement declared effective at the earliest possible date but no later than the earlier of (a) the 60th calendar day following the initial filing date of the Initial Registration Statement if the SEC notifies us that it will review the Initial Registration Statement and (b) the fifth Business Day after the date we are notified (orally or in writing, whichever is earlier) by the SEC that the Initial Registration Statement will not be “reviewed” or will not be subject to further review. The Registration Rights Agreement further provides that we shall use commercially reasonable efforts to keep such registration statement continuously effective and available for resale of the Offered ADSs, the Pre-Funded Warrant ADSs, and the Ordinary Warrant ADSs until the earlier of (i) the date on which the Purchasers shall have resold all such ADSs, and (ii) the date on which such securities may be resold by the Purchasers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Registration Rights Agreement and is qualified in its entirety by reference to the full text of the form of such document, which is filed as an exhibit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each of our directors and officers entered into a lock-up agreement (each a “Lock-Up Agreement” and collectively, the “Lock-Up Agreements”) dated August 20, 2026. Under the Lock-Up Agreements, our directors and officers agreed not to take any of the following actions without Leerink Partners’ prior written consent for a period ending on the date that is the later of (a) 90 days after the Closing Date and (b) the effective date of the Initial Registration Statement (the “Lock-Up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offer, pledge, sell, contract to sell, sell any option or contract to purchase, purchase any option or contract to sell, grant any option, right or warrant for the sale of, or otherwise dispose of or transfer any ADSs or Ordinary Shares or any securities convertible into or exchangeable or exercisable for ADSs or Ordinary Shares,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 into any swap or any other agreement or any transaction that transfers, in whole or in part, directly or indirectly, the economic consequence of ownership of the Lock-Up Securities, whether any such swap or transaction is to be settled by delivery of ADSs or Ordinary Shares or other securities, in cash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limitations, our securities may be transferred under limited circumstances, including, without limitation, by gift, will or intestate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being offered by the Selling Shareholders are those Offered ADSs issued to the Selling Shareholders in the Private Placement and those ADSs issued or issuable to the Selling Shareholders upon exercise of the Pre-Funded Warrants or the Ordinary Warrants issued to the Selling Shareholders in the Private Placement. For additional information regarding the issuances of the Offered ADSs, the Pre-Funded Warrants and the Ordinary Warrants, see “The Private Placement.” We are registering the ADSs in order to permit the Selling Shareholders to offer the ADSs for resale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we completed a private placement transaction with several institutional and accredited investors relating to the issuance and sale in a private placement transaction (the “October 2025 Private Placement”) of (i) 15,152 ADSs and (ii) pre-funded warrants to purchase 1,993,939 ADSs, together with (A) Series H Warrants to purchase up to 2,009,091 ADSs (“Series H Warrants”), (B) Series I Warrants to purchase up to 2,009,091 ADSs (“Series I Warrants”), (C) Series J Warrants to purchase up to 2,009,091 ADSs (“Series J Warrants”), and (D) Series K Warrants to purchase up to 2,009,091 ADSs (“Series K Warrants” and, together with the Series H Warrants, Series I Warrants, and Series J Warrants, the “October 2025 Ordinary Warrants”). The October pre-funded warrants and the October 2025 Ordinary Warrants contain beneficial ownership and voting limitations similar to the Pre-Funded Warrants and Ordinary Warrants issued in the Private Placement. As noted in the footnotes below, a number of the Selling Shareholders participated in our October 2025 Private Placement. Other than the Selling Shareholders who participated in our October 2025 Private Placement, none of the other Selling Shareholders, nor any person having control over the Selling Shareholders, has held any position or office with us or our affiliates within the last three years or have had a material relationship with us or any of our predecessors or affiliates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identified below may have sold, transferred or otherwise disposed of some or all of their ADSs since the date on which the information in the following table is presented in transactions exempt from or not subject to the registration requirements of the Securities Act. Information concerning the Selling Shareholders may change from time to time. Any changed information will be set forth in an amendment to the Registration Statement or supplement to this prospectus, to the extent required by law. Unless otherwise indicated in the footnotes to the table below, we believe, based on information furnished to us, that each Selling Shareholder named in this table has sole voting and investment power with respect to the ADSs indicated as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Selling Shareholders and the Resale ADSs that each may offer and sell from time to time under this prospectus. The table is prepared based, in part, on information supplied to us by the Selling Shareholders without regard to ownership or voting limitations set forth in the applicable agreements or other documents relating to such securities, including (i) all of the Resale ADSs offered hereby, and (ii) to our knowledge, all other securities held by each of the Selling Shareholders as of the date hereof (including securities acquired in our October 2025 Private Placement), and reflects their respective holdings as of August 31, 2026. Except as noted below, beneficial ownership is determined in accordance with Section 13(d) of the Exchange Act, and Rule 13d-3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39"/>
        <w:gridCol w:w="60"/>
        <w:gridCol w:w="68"/>
        <w:gridCol w:w="972"/>
        <w:gridCol w:w="60"/>
        <w:gridCol w:w="60"/>
        <w:gridCol w:w="61"/>
        <w:gridCol w:w="883"/>
        <w:gridCol w:w="60"/>
        <w:gridCol w:w="60"/>
        <w:gridCol w:w="69"/>
        <w:gridCol w:w="1010"/>
        <w:gridCol w:w="60"/>
        <w:gridCol w:w="60"/>
        <w:gridCol w:w="146"/>
        <w:gridCol w:w="933"/>
        <w:gridCol w:w="204"/>
      </w:tblGrid>
      <w:tr>
        <w:trPr/>
        <w:tc>
          <w:tcPr>
            <w:tcW w:w="543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ADSs</w:t>
              <w:br/>
              <w:t>Beneficially</w:t>
              <w:br/>
              <w:t>Owned</w:t>
              <w:br/>
              <w:t>Prior to</w:t>
              <w:br/>
              <w:t>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Number of</w:t>
              <w:br/>
              <w:t>ADSs</w:t>
              <w:br/>
              <w:t>to be Sold</w:t>
              <w:br/>
              <w:t>in this</w:t>
              <w:br/>
              <w:t>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ADSs</w:t>
              <w:br/>
              <w:t>Beneficially</w:t>
              <w:br/>
              <w:t>Owned After</w:t>
              <w:br/>
              <w:t>Offering</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 ADSs</w:t>
              <w:br/>
              <w:t>Beneficially</w:t>
              <w:br/>
              <w:t>Owned After</w:t>
              <w:br/>
              <w:t>Offering</w:t>
            </w:r>
            <w:r>
              <w:rPr>
                <w:rFonts w:ascii="Times New Roman;Times;Serif" w:hAnsi="Times New Roman;Times;Serif"/>
                <w:b/>
                <w:i w:val="false"/>
                <w:caps w:val="false"/>
                <w:smallCaps w:val="false"/>
                <w:position w:val="7"/>
                <w:sz w:val="16"/>
                <w:sz w:val="20"/>
              </w:rPr>
              <w:t>(2)</w:t>
            </w:r>
          </w:p>
        </w:tc>
        <w:tc>
          <w:tcPr>
            <w:tcW w:w="2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3i, LP </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AIGH Capital Management, LLC </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2,337,906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1,646,316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Blackwell Partners LLC - Series A (“Blackwell”) </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750,245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276,105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Boothbay Absolute Return Strategies, LP </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Brio Capital Master Fund Ltd </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278,516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DAFNA Capital Management, LLC </w:t>
            </w:r>
            <w:r>
              <w:rPr>
                <w:rFonts w:ascii="Times New Roman;Times;Serif" w:hAnsi="Times New Roman;Times;Serif"/>
                <w:b w:val="false"/>
                <w:i w:val="false"/>
                <w:caps w:val="false"/>
                <w:smallCaps w:val="false"/>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Diadema Partners LP </w:t>
            </w:r>
            <w:r>
              <w:rPr>
                <w:rFonts w:ascii="Times New Roman;Times;Serif" w:hAnsi="Times New Roman;Times;Serif"/>
                <w:b w:val="false"/>
                <w:i w:val="false"/>
                <w:caps w:val="false"/>
                <w:smallCaps w:val="false"/>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594,156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Eastmain 2023 Fund LP (“Eastmain”)</w:t>
            </w:r>
            <w:r>
              <w:rPr>
                <w:rFonts w:ascii="Times New Roman;Times;Serif" w:hAnsi="Times New Roman;Times;Serif"/>
                <w:b w:val="false"/>
                <w:i w:val="false"/>
                <w:caps w:val="false"/>
                <w:smallCaps w:val="false"/>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Empery Asset Management LP </w:t>
            </w:r>
            <w:r>
              <w:rPr>
                <w:rFonts w:ascii="Times New Roman;Times;Serif" w:hAnsi="Times New Roman;Times;Serif"/>
                <w:b w:val="false"/>
                <w:i w:val="false"/>
                <w:caps w:val="false"/>
                <w:smallCaps w:val="false"/>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Hewlett Fund LP </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Integrated Core Strategies (US) LLC </w:t>
            </w:r>
            <w:r>
              <w:rPr>
                <w:rFonts w:ascii="Times New Roman;Times;Serif" w:hAnsi="Times New Roman;Times;Serif"/>
                <w:b w:val="false"/>
                <w:i w:val="false"/>
                <w:caps w:val="false"/>
                <w:smallCaps w:val="false"/>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1,034,709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Lytton-Kambara Foundation </w:t>
            </w:r>
            <w:r>
              <w:rPr>
                <w:rFonts w:ascii="Times New Roman;Times;Serif" w:hAnsi="Times New Roman;Times;Serif"/>
                <w:b w:val="false"/>
                <w:i w:val="false"/>
                <w:caps w:val="false"/>
                <w:smallCaps w:val="false"/>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1,216,455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909,090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Kingdon Offshore Master Fund L.P. </w:t>
            </w:r>
            <w:r>
              <w:rPr>
                <w:rFonts w:ascii="Times New Roman;Times;Serif" w:hAnsi="Times New Roman;Times;Serif"/>
                <w:b w:val="false"/>
                <w:i w:val="false"/>
                <w:caps w:val="false"/>
                <w:smallCaps w:val="false"/>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Nantahala Capital Partners Limited Partnership (“Nantahala CPLP”)</w:t>
            </w:r>
            <w:r>
              <w:rPr>
                <w:rFonts w:ascii="Times New Roman;Times;Serif" w:hAnsi="Times New Roman;Times;Serif"/>
                <w:b w:val="false"/>
                <w:i w:val="false"/>
                <w:caps w:val="false"/>
                <w:smallCaps w:val="false"/>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533,955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330,220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NCP RFM LP (“NCP LP”)</w:t>
            </w:r>
            <w:r>
              <w:rPr>
                <w:rFonts w:ascii="Times New Roman;Times;Serif" w:hAnsi="Times New Roman;Times;Serif"/>
                <w:b w:val="false"/>
                <w:i w:val="false"/>
                <w:caps w:val="false"/>
                <w:smallCaps w:val="false"/>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Proactive Capital Partners, LP </w:t>
            </w:r>
            <w:r>
              <w:rPr>
                <w:rFonts w:ascii="Times New Roman;Times;Serif" w:hAnsi="Times New Roman;Times;Serif"/>
                <w:b w:val="false"/>
                <w:i w:val="false"/>
                <w:caps w:val="false"/>
                <w:smallCaps w:val="false"/>
                <w:position w:val="7"/>
                <w:sz w:val="16"/>
                <w:sz w:val="20"/>
              </w:rPr>
              <w:t>(18)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Sirenia Capital Management LP </w:t>
            </w:r>
            <w:r>
              <w:rPr>
                <w:rFonts w:ascii="Times New Roman;Times;Serif" w:hAnsi="Times New Roman;Times;Serif"/>
                <w:b w:val="false"/>
                <w:i w:val="false"/>
                <w:caps w:val="false"/>
                <w:smallCaps w:val="false"/>
                <w:position w:val="7"/>
                <w:sz w:val="16"/>
                <w:sz w:val="20"/>
              </w:rPr>
              <w:t>(19)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3,984,992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3,073,770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911,222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Sphera Global Healthcare Management LP </w:t>
            </w:r>
            <w:r>
              <w:rPr>
                <w:rFonts w:ascii="Times New Roman;Times;Serif" w:hAnsi="Times New Roman;Times;Serif"/>
                <w:b w:val="false"/>
                <w:i w:val="false"/>
                <w:caps w:val="false"/>
                <w:smallCaps w:val="false"/>
                <w:position w:val="7"/>
                <w:sz w:val="16"/>
                <w:sz w:val="20"/>
              </w:rPr>
              <w:t>(20)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1,075,815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1,075,815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StemPoint Capital Master Fund LP </w:t>
            </w:r>
            <w:r>
              <w:rPr>
                <w:rFonts w:ascii="Times New Roman;Times;Serif" w:hAnsi="Times New Roman;Times;Serif"/>
                <w:b w:val="false"/>
                <w:i w:val="false"/>
                <w:caps w:val="false"/>
                <w:smallCaps w:val="false"/>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Stonepine Capital, LP </w:t>
            </w:r>
            <w:r>
              <w:rPr>
                <w:rFonts w:ascii="Times New Roman;Times;Serif" w:hAnsi="Times New Roman;Times;Serif"/>
                <w:b w:val="false"/>
                <w:i w:val="false"/>
                <w:caps w:val="false"/>
                <w:smallCaps w:val="false"/>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1,382,292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767,547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Pursuant to the Beneficial Ownership Limitation under the terms of the Pre-Funded Warrants and the Ordinary Warrants, a Selling Shareholder may not exercise any of such warrants to the extent such exercise would cause such Selling Shareholder, together with its affiliates and attribution parties, to own a number of Ordinary Shares represented by ADSs which would exceed 4.99% of our then outstanding Ordinary Shares following such exercise. In addition, both the Pre-Funded Warrants and the Ordinary Warrants provide that a holder of such warrants may not exercise any portion of such warrants to the extent that the holder, together with its affiliates, would hold more than 4.99% of our voting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written notice to us, a holder of Pre-Funded Warrants or Ordinary Warrants may from time to time increase or decrease the 4.99% limitations to any other percentage not in excess of 9.99% specified in such notice; provided that any increase in such beneficial ownership limitation will not be effective until the 61st day after such notice is delivered to us; provided further, that any such increase will not be effective until after obtaining the shareholder approval described under “The Private Placement -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reflected in the Selling Shareholder table reflects the total number of shares potentially issuable underlying the Pre-Funded Warrants, the Ordinary Warrants and the October 2025 Ordinary Warrants and does not give effect to any beneficial ownership or voting limitations. Accordingly, actual beneficial ownership, as calculated in accordance with Section 13(d) and Rule 13d-3 thereunder may be lower than as reflected in the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both"/>
              <w:rPr/>
            </w:pPr>
            <w:r>
              <w:rPr/>
              <w:t>We cannot provide an estimate as to the number of Resale ADSs that will be held by the Selling Shareholders upon termination of the offering covered by this prospectus because the Selling Shareholders may offer some, all or none of their Resale ADSs. Therefore, we have assumed, for purposes of this table, that the Selling Shareholders will sell the maximum number of Resale ADSs registered for resale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45,160 Offered ADSs and (ii) 22,580 Ordinary Warrant ADSs, as well as (iii) 71 ADSs issuable upon the exercise of additional warrants held by 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54,196 Offered ADSs held by AIGH Investment Partners, LP (“AIGH IP”), (ii) 294,826 Pre-Funded ADS issuable upon the exercise of Pre-Funded Warrants held by AIGH IP, and (iii) 174,511 Ordinary Warrant ADSs issuable upon the exercise of Ordinary Warrants held by AIGH IP, as well as (iv) 51,000 additional ADSs held by AIGH IP and (v) 1,147,478 ADSs issuable upon the exercise of warrants held by AIGH IP that were acquired in the October 2025 Private Placement; and (B)(i) 112,038 Offered ADSs held by WVP Emerging Manager Onshore Fund, LLC - Optimized Equity Series (“WVP”) and (ii) 56,019 Ordinary Warrant ADSs issuable upon the exercise of Ordinary Warrants held by WVP, as well as (iii) 19,000 additional ADSs held by WVP and (iv) 428,838 ADSs issuable upon the exercise of warrants held by WVP that were acquired in the October 2025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AIGH Capital Management, LLC serves as an advisor or sub-advisor with respect to securities held by AIGH IP and WVP. Orin Hirschman is the Managing Member of AIGH Capital Management, LLC. The principal place of business of AIGH IP and WVP is 6006 Berkeley Avenue, Baltimore, MD 21209.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106,101 Offered ADSs, (ii) 77,969 Pre-Funded ADS issuable upon the exercise of Pre-Funded Warrants, and (iii) 92,035 Ordinary Warrant ADSs issuable upon the exercise of Ordinary Warrants, as well as (iv) 474,140 ADSs issuable upon the exercise of warrants that were acquired in the October 2025 Private Placement. Each of Wilmot B. Harkey and Daniel Mack may be deemed to be beneficial owners of securities held by Blackwell as the managing members of Nantahala Capital Management, LLC, which is the investment manager of Blackwell. The address of Blackwell is 130 Main Street, 2nd Floor, New Canaan, CT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includes:(i) 51,220 Offered ADSs and (ii) 25,610 Ordinary Warrant ADSs, as well as (iii) 43,112 additional ADSs held. Jonathan Rozenberg and Vik Mittal may be deemed to be beneficial owners of securities held by Boothbay Absolute Return Strategies, LP. The address of the Selling Shareholder is 140 E 45th Street, 16th Floor, New York, New York 10017.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51,220 Offered ADSs and (ii) 25,610 Ordinary Warrant ADSs, as well as (iii) 2,608 additional ADSs held and (iv) 275,908 ADSs issuable upon the exercise of warrants that were acquired in the October 2025 Private Placement. Brio Capital Management LLC, is the investment manager of Brio Capital Master Fund Ltd. and has the voting and investment discretion over securities held by Brio Capital Master Fund Ltd. Shaye Hirsch, in his capacity as Managing Member of Brio Capital Management LLC, makes voting and investment decisions on behalf of Brio Capital Management LLC in its capacity as the investment manager of Brio Capital Master Fund Ltd. The address of Brio Capital Master Fund Ltd. is c/o Brio Capital Management LLC, 100 Merrick Road, Suite 401 W. Rockville Center, NY 11570.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(8)</w:t>
            </w:r>
          </w:p>
        </w:tc>
        <w:tc>
          <w:tcPr>
            <w:tcW w:w="994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101,430 Offered ADSs held by DAFNA LifeScience LP (“DAFNA LS”) and (ii) 50,715 Ordinary Warrant ADSs issuable upon Ordinary Warrants held by DAFNA LS; and (B) (i) 52,250 Offered ADSs held by DAFNA LifeScience Select LP (“DAFNA LSS”) and (ii) 26,125 Ordinary Warrant ADSs issuable upon Ordinary Warrants held by DAFNA LSS.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DAFNA Capital Management, LLC (“DCM LLC”) serves as the investment manager and general partner to DAFNA LS and DAFNA LSS and, as a result, maintains voting and investment power with respect to the securities held by DAFNA LS and DAFNA LSS. Nathan Fischel and Fariba Ghodsian are the Chief Executive Officer and the Chief Investment Officer of DCM LLC, respectively. As controlling persons of DCM LLC, they may be deemed to beneficially own the ADSs owned by DAFNA LS and DAFNA LSS. The address of DAFNA LS and DAFNA LSS is c/o DAFNA Capital Management, LLC, 10990 Wilshire Blvd, Ste. 1400, Los Angeles, CA 90024.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32,534 Offered ADSs held by Diadema Partners Master Fund LP (“Diadema Master”) and (ii) 16,267 Ordinary Warrant ADSs issuable upon the exercise of Ordinary Warrants held by Diadema Master , as well as (iii) 87,616 ADSs issuable upon the exercise of warrants held by Diadema Master that were acquired in the October 2025 Private Placement; (B)(i) 62,820 Offered ADSs held by Diadema Strategic Fund LP (“Diadema Strategic”) and (ii) 31,410 Ordinary Warrant ADSs issuable upon the exercise of Ordinary Warrants held by Diadema Strategic, as well as (iii) 138,660 ADSs issuable upon the exercise of warrants held by Diadema Strategic that were acquired in the October 2025 Private Placement; (C)(i) 43,960 Offered ADSs held by Persistent Asset Global Select Fund SPC (“Persistent”) and (ii) 21,980 Ordinary Warrant ADSs issuable upon the exercise of Ordinary Warrants held by Persistent, as well as (iii) 94,816 ADSs issuable upon the exercise of warrants held by Persistent that were acquired in the October 2025 Private Placement; and (D)(i) 14,366 Offered ADSs held by Valence8 Diversified(US) LLC (“Valence”) and (ii) 7,183 Ordinary Warrant ADSs issuable upon the exercise of Ordinary Warrants held by Valence, as well as (iii) 42,544 ADSs issuable upon the exercise of warrants held by Valence that were acquired in the October 2025 Private Placement. Diadema Master, Diadema Strategic, Persistent, and Valence are referred to herein as the “Diadema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Diadema Partners LP (“Diadema Partners”) is the investment manager for each of the Diadema Funds; and Diadema Partners General Partner LLC (“Diadema Partners GP”) is the sole general partner of Diadema Partners. Timothy Bassett is the sole managing member of Diadema Partners GP. Each of Diadema Partners, Diadema Partners GP, and Mr. Bassett disclaims beneficial ownership of the securities held directly by the Diadema Funds except to the extent of their pecuniary interest therein. The address of the Diadema Funds is 2140 Headquarters Plaza, East Tower 2nd Floor, Morristown, NJ 07960.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(10)</w:t>
            </w:r>
          </w:p>
        </w:tc>
        <w:tc>
          <w:tcPr>
            <w:tcW w:w="9823"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27,455 Offered ADSs, (ii) 20,175 Pre-Funded ADS issuable upon the exercise of Pre-Funded Warrants, and (iii) 23,815 Ordinary Warrant ADSs issuable upon the exercise of Ordinary Warrants. Each of Wilmot B. Harkey and Daniel Mack may be deemed to be beneficial owners of securities held by Eastmain as the managing members of Nantahala Capital Management, LLC, which is the investment manager of Eastmain. The address of Eastmain is 130 Main Street, 2nd Floor, New Canaan, CT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(11)</w:t>
            </w:r>
          </w:p>
        </w:tc>
        <w:tc>
          <w:tcPr>
            <w:tcW w:w="9824"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 (i) 102,586 Offered ADSs held by Empery Asset Master Ltd (“EAM”) and (ii) 51,293 Ordinary Warrant ADSs issuable upon the exercise of Ordinary Warrants held by EAM; (B) (i) 47,644 Offered ADSs held by Empery Tax Efficient, LP (“ETE”), (ii) 23,822 Ordinary Warrant ADSs issuable upon the exercise of Ordinary Warrants held by ETE; and (C) (i)  54,680 Offered ADSs held by Empery Tax Efficient III, LP (“ETE III” and collectively with EAM and ETE, the “Empery Funds”) and (ii) 27,340 Ordinary Warrant ADSs issuable upon the exercise of Ordinary Warrants held by ETE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Empery Asset Management LP, the authorized agent of Empery Funds, has discretionary authority to vote and dispose of the shares held by the Empery Funds and may be deemed to be the beneficial owner of these shares. Ryan Lane, in his capacity as the chief investment officer of Empery Asset Management LP, may also be deemed to have investment discretion and voting power over the shares held by the Empery Funds. Each of the Empery Funds and Mr. Lane each disclaim any beneficial ownership of these shares. The address of each of the Empery Funds is c/o Empery Asset Management, LP, One Rockefeller Plaza, Suite 1205, New York, NY 10020.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(12)</w:t>
            </w:r>
          </w:p>
        </w:tc>
        <w:tc>
          <w:tcPr>
            <w:tcW w:w="9822"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81,960 Offered ADSs and (ii) 40,980 Ordinary Warrant ADSs, as well as (iii) 329,392 ADSs issuable upon the exercise of warrants that were acquired in the October 2025 Private Placement. Martin Chopp has sole voting and investment control of the securities beneficially owned by the Selling Shareholder. The address of the Selling Shareholder is 100 Merrick Road - Suite 400W Rockville Centre, NY 11570.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(13)</w:t>
            </w:r>
          </w:p>
        </w:tc>
        <w:tc>
          <w:tcPr>
            <w:tcW w:w="9828"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123,643 Offered ADSs, (ii) 491,107 Pre-Funded ADS, and (iii) 307,375 Ordinary Warrant ADSs, as well as (iv) 112,584 additional ADSs that were acquired separately from the Private Placement. The securities listed above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Integrated Core Strategies (US) LLC is c/o Millennium Management LLC, 399 Park Avenue, New York, New York 10022.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(14)</w:t>
            </w:r>
          </w:p>
        </w:tc>
        <w:tc>
          <w:tcPr>
            <w:tcW w:w="9822"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204,910 Offered ADSs and (ii) 102,455 Ordinary Warrant ADSs, as well as (iii) 909,090 issuable upon the exercise of warrants that were acquired in the October 2025 Private Placement. Laurence Lytton has sole voting and investment control of the securities beneficially owned by the Lytton-Kambara Foundation. The address of the Lytton-Kambara Foundation is 467 Central Park West, Number 17-A, New York, New York 10025.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(15)</w:t>
            </w:r>
          </w:p>
        </w:tc>
        <w:tc>
          <w:tcPr>
            <w:tcW w:w="982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204,910 Offered ADSs and (ii) 102,455 Ordinary Warrant ADSs. Mark E. Kingdon may be deemed to be beneficial owner of securities held by the Selling Shareholder. The address of M. Kingdon Offshore Master Fund L.P. is c/o Kingdon Capital Management, LLC, 152 W. 57th Street, 50th Floor, New York, NY 10019.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(16)</w:t>
            </w:r>
          </w:p>
        </w:tc>
        <w:tc>
          <w:tcPr>
            <w:tcW w:w="9825"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78,291 Offered ADSs, (ii) 57,532 Pre-Funded ADS issuable upon the exercise of Pre-Funded Warrants, and (iii) 67,912 Ordinary Warrant ADSs issuable upon the exercise of Ordinary Warrants, as well as (iv) 330,220 ADSs issuable upon the exercise of warrants that were acquired in the October 2025 Private Placement. Each of Wilmot B. Harkey and Daniel Mack may be deemed to be beneficial owners of securities held by Nantahala CPLP as the managing members of Nantahala Capital Management, LLC, which is the investment manager of Nantahala CPLP. The address of Nantahala CPLP is 130 Main Street, 2nd Floor, New Canaan, CT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(17)</w:t>
            </w:r>
          </w:p>
        </w:tc>
        <w:tc>
          <w:tcPr>
            <w:tcW w:w="9825"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24,387 Offered ADSs, (ii) 17,920 Pre-Funded ADS issuable upon the exercise of Pre-Funded Warrants, and (iii) 21,153 Ordinary Warrant ADSs issuable upon the exercise of Ordinary Warrants, as well as (iv) 104,730 ADSs issuable upon the exercise of warrants that were acquired in the October 2025 Private Placement. Each of Wilmot B. Harkey and Daniel Mack may be deemed to be beneficial owners of securities held by NCP LP as the managing members of Nantahala Capital Management, LLC, which is the investment manager of NCP LP. The address of NCP LP is 130 Main Street, 2nd Floor, New Canaan, CT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(18)</w:t>
            </w:r>
          </w:p>
        </w:tc>
        <w:tc>
          <w:tcPr>
            <w:tcW w:w="9824"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24,590 Offered ADSs and (ii) 12,295 Ordinary Warrant ADSs, as well as (iii) 6,143 additional ADSs. Jeffrey S. Ramson is the general partner of Proactive Capital Partners, LP and has voting and investment control over the securities held by Proactive Capital Partners, LP and may be deemed to beneficially own the shares of common stock owned by Proactive Capital Partners, LP. The address for Proactive Capital Partners, LP and Mr. Ramson is 110 East 59th Street, 23rd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(19)</w:t>
            </w:r>
          </w:p>
        </w:tc>
        <w:tc>
          <w:tcPr>
            <w:tcW w:w="9827"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4,684 Offered ADSs held by Manatee Access Fund LP (“Manatee”), (ii) 35,947 Pre-Funded ADS issuable upon the exercise of Pre-Funded Warrants held by Manatee, and (iii) 20,316 Ordinary Warrant ADS issuable upon the exercise of Ordinary Warrants held by Manatee, as well as (iv) 2,132 additional ADSs held by Manatee; and (B)(i) 231,550 Offered ADSs held by SILV Fund, Ltd. (“SILV Fund”), (ii) 1,776,999 Pre-Funded ADS issuable upon the exercise of Pre-Funded Warrants held by SILV Fund, and (iii) 1,004,274 Ordinary Warrant ADSs issuable upon the exercise of Ordinary Warrants held by SILV Fund; as well as (iv) 909,090 issuable upon the exercise of warrants held by SILV Fund that were acquired in the October 2025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Sirenia Capital Management LP (“Sirenia”) serves as the investment manager to Manatee and SILV Fund and, as a result, maintains voting and investment power with respect to the securities held by Manatee and SILV Fund. Sirenia Capital Management GP LLC (“Sirenia GP”) is the general partner of Sirenia. Alex Silverstein is the managing member of Sirenia GP. Each of SILV Fund, Ltd., Sirenia GP and Mr. Silverstein disclaims beneficial ownership over such securities. The address of Manatee and SILV Fund Ltd. is c/o Sirenia Capital Management LP, 1674 Meridian Avenue, Suite 320, Miami Beach, FL 33139.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(20)</w:t>
            </w:r>
          </w:p>
        </w:tc>
        <w:tc>
          <w:tcPr>
            <w:tcW w:w="9826"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217,335 Offered ADSs held by Sphera Biotech Master Fund LP (“Sphera BMF”), (ii) 442,498 Pre-Funded ADS issuable upon the exercise of Pre-Funded Warrants held by Sphera BMF, and (iii) 329,917 Ordinary Warrant ADSs issuable upon the exercise of Ordinary Warrants held by Sphera BMF; and (B) (i) 18,899 Offered ADSs held by Sphera Global Healthcare Master Fund (“Sphera GHMF”), (ii) 38,478 Pre-Funded ADS issuable upon the exercise of Pre-Funded Warrants held by Sphera GHMF, and (iii) 28,688 Ordinary Warrant ADSs issuable upon the exercise of Ordinary Warrants held by Sphera GHMF.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Sphera Global Healthcare Management LP may be deemed to be beneficial owner of securities held by Sphera BMF and Sphera GHMF. The address of Sphera BMF and Sphera GHMF is 4 Yitzhak Sade, Building A, 29th Floor, Tel Aviv 6777520, Israel.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(21)</w:t>
            </w:r>
          </w:p>
        </w:tc>
        <w:tc>
          <w:tcPr>
            <w:tcW w:w="9826"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236,234 Offered ADSs, (ii) 173,596 Pre-Funded ADS, and (iii) 204,915 Ordinary Warrant ADSs. StemPoint Capital LP (“StemPoint”) serves as an investment adviser to StemPoint Capital Master Fund LP (“StemPoint Fund”). StemPoint exercises voting and investment power over the shares held by StemPoint Fund pursuant to an investment management agreement. StemPoint Capital Management GP LLC (“StemPoint GP”) is the general partner of StemPoint. StemPoint, StemPoint GP, and Michelle Ross may be deemed to beneficially own the shares held by StemPoint Fund. The address of StemPoint Fund is 520 Madison Avenue, 19th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(22)</w:t>
            </w:r>
          </w:p>
        </w:tc>
        <w:tc>
          <w:tcPr>
            <w:tcW w:w="9823"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34,747 Offered ADSs, (ii) 375,083 Pre-Funded ADS, and (iii) 204,915 Ordinary Warrant ADSs, as well as (iv) 201,487 additional ADSs, and (v) 566,060 ADSs issuable upon the exercise of warrants that were acquired in the October 2025 Private Placement. Jon M. Plexico has sole voting and investment control of the securities beneficially owned by Stonepine Capital, LP. The address of Stonepine Capital, LP is 2900 NW Clearwater Dr, Ste 100-11, Bend, OR 97703.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which as used herein includes donees, pledgees, transferees or other successors-in-interest selling ADSs or interests in ADSs received after the date of this prospectus from a Selling Shareholder as a gift, pledge, partnership distribution or other transfer, may, from time to time, sell, transfer or otherwise dispose of any or all of their ADSs or interests in ADSs on any stock exchange, market or trading facility on which the ADSs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use any one or more of the following methods when disposing of ADSs or interests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distributions to members, partners, stockholders or other equityholders of the Selling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ADSs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and settlement of short sales entered into after the effective date of the registration statement of which this prospectus is a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the Selling Shareholders to sell a specified number of such shares at a stipulated price per ADSs;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ADSs owned by them and, if they default in the performance of their secured obligations, the pledgees or secured parties may offer and sell the ADSs,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ADSs in other circumstances, in which case the transferees, pledgees or other successors in interest will be the Selling Shareholders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ADSs or interests therein, the Selling Shareholders may enter into hedging transactions with broker-dealers or other financial institutions, which may in turn engage in short sales of the ADSs in the course of hedging the positions they assume. The Selling Shareholders may also sell our ADSs short and deliver these securities to close out their short positions, or loan or pledge the ADSs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Shareholders from the sale of the ADSs offered by them will be the purchase price of the ADSs less discounts or commissions, if any. Each of the Selling Shareholders reserves the right to accept and, together with their agents from time to time, to reject, in whole or in part, any proposed purchase of ADSs to be made directly or through agents. We will not receive any of the proceeds from this offering. Upon any exercise of the pre-funded warrants or ordinary warrants by payment of cash, however, we will receive the exercise price of the Pre-Funded Warrants or the Ordinary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also may resell all or a portion of the ADSs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underwriters, broker-dealers or agents that participate in the sale of the ADSs or interests therein may be “underwriters” within the meaning of Section 2(a)(11) of the Securities Act (it being understood that the Selling Shareholders shall not be deemed to be underwriters solely as a result of their participation in this offering). Any discounts, commissions, concessions or profit they earn on any resale of the ADSs may be underwriting discounts and commissions under the Securities Act. Selling Shareholders who are “underwriters”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ADSs to be sold, the names of the Selling Shareholders,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ADSs may be sold in these jurisdictions only through registered or licensed brokers or dealers. In addition, in some states the ADSs may not be sold unless such securities have been registered or qualified for sale or an exemption from registration or qualification requirements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Shareholders that the anti-manipulation rules of Regulation M under the Exchange Act may apply to sales of ADSs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ADSs against certain liabilities, including liabilities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Shareholders against liabilities, including liabilities under the Securities Act and state securities laws, relating to the registration of the ADSs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Shareholders to use commercially reasonable efforts to cause the registration statement of which this prospectus constitutes a part to become effective and to remain continuously effective until the earlier of: (i)  the date on which the Selling Shareholders shall have resold or otherwise disposed of all the ADSs covered by this prospectus pursuant to Rule 144 or pursuant to this prospectus, and (ii) the date on which the ADSs covered by this prospectus no longer constitute “Registrable Securities” as such term is defined in the Registration Rights Agreement, such that they may be resold by the Selling Shareholders without registration and without regard to any volume or manner-of-sale limitations and without current public information pursuant to Rule 144 under the Securities Act or any other rule of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Meitar | Law Offices, Ramat Gan,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and for the year ended December 31, 2025 incorporated by reference in this registration statement has been audited by CBIZ CPAs P.C., an independent registered public accounting firm, as stated in their report (which includes an explanatory paragraph as to the Company’s ability to continue as a going concern). Such financial statements are incorporated in reliance upon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and for the year ended December 31, 2024 incorporated by reference in this registration statement has been audited by Marcum LLP, an independent registered public accounting firm, as stated in their report. Such financial statements are incorporated in reliance upon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the Selling Shareholders nor any agent, underwriter or dealer has authorized any person to provide you with different information. Neither we nor the Selling Shareholders are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Our SEC filings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Additional information about Quoin Pharmaceuticals Ltd. is contained at our website, </w:t>
      </w:r>
      <w:r>
        <w:rPr>
          <w:rFonts w:ascii="Times New Roman;Times;Serif" w:hAnsi="Times New Roman;Times;Serif"/>
          <w:b w:val="false"/>
          <w:i/>
          <w:caps w:val="false"/>
          <w:smallCaps w:val="false"/>
          <w:sz w:val="20"/>
        </w:rPr>
        <w:t>www.quoinpharma.com</w:t>
      </w:r>
      <w:r>
        <w:rPr>
          <w:rFonts w:ascii="Times New Roman;Times;Serif" w:hAnsi="Times New Roman;Times;Serif"/>
          <w:b w:val="false"/>
          <w:i w:val="false"/>
          <w:caps w:val="false"/>
          <w:smallCaps w:val="false"/>
          <w:sz w:val="20"/>
        </w:rPr>
        <w:t>. Information on our website is not incorporated by reference into this prospectus. We make available on our website our SEC filings as soon as reasonably practicable after those reports are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and the registration statement of which this prospectus is a part the information or documents listed below that we have filed with the SEC (Commission File No. 001-37846):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hyperlink r:id="rId3">
              <w:r>
                <w:rPr>
                  <w:rStyle w:val="InternetLink"/>
                  <w:rFonts w:ascii="Symbol" w:hAnsi="Symbol"/>
                </w:rPr>
                <w:t>·</w:t>
              </w:r>
            </w:hyperlink>
          </w:p>
        </w:tc>
        <w:tc>
          <w:tcPr>
            <w:tcW w:w="10043" w:type="dxa"/>
            <w:tcBorders/>
            <w:vAlign w:val="center"/>
          </w:tcPr>
          <w:p>
            <w:pPr>
              <w:pStyle w:val="TableContents"/>
              <w:bidi w:val="0"/>
              <w:spacing w:before="0" w:after="283"/>
              <w:jc w:val="both"/>
              <w:rPr/>
            </w:pPr>
            <w:hyperlink r:id="rId4">
              <w:r>
                <w:rPr>
                  <w:rStyle w:val="InternetLink"/>
                  <w:rFonts w:ascii="Times New Roman;Times;Serif" w:hAnsi="Times New Roman;Times;Serif"/>
                </w:rPr>
                <w:t>Our Annual Report on Form 10-K for the fiscal year ended December 31, 2025, filed with the Commission on March 26, 2026 (the “Form 10-K”);</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hyperlink r:id="rId5">
              <w:r>
                <w:rPr>
                  <w:rStyle w:val="InternetLink"/>
                  <w:rFonts w:ascii="Symbol" w:hAnsi="Symbol"/>
                </w:rPr>
                <w:t>·</w:t>
              </w:r>
            </w:hyperlink>
          </w:p>
        </w:tc>
        <w:tc>
          <w:tcPr>
            <w:tcW w:w="10043" w:type="dxa"/>
            <w:tcBorders/>
            <w:vAlign w:val="center"/>
          </w:tcPr>
          <w:p>
            <w:pPr>
              <w:pStyle w:val="TableContents"/>
              <w:bidi w:val="0"/>
              <w:spacing w:before="0" w:after="283"/>
              <w:jc w:val="both"/>
              <w:rPr/>
            </w:pPr>
            <w:hyperlink r:id="rId6">
              <w:r>
                <w:rPr>
                  <w:rStyle w:val="InternetLink"/>
                  <w:rFonts w:ascii="Times New Roman;Times;Serif" w:hAnsi="Times New Roman;Times;Serif"/>
                </w:rPr>
                <w:t>Our Quarterly Report on Form 10-Q for the quarter ended March 31, 2026, filed with the Commission on May 7,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hyperlink r:id="rId7">
              <w:r>
                <w:rPr>
                  <w:rStyle w:val="InternetLink"/>
                  <w:rFonts w:ascii="Symbol" w:hAnsi="Symbol"/>
                </w:rPr>
                <w:t>·</w:t>
              </w:r>
            </w:hyperlink>
          </w:p>
        </w:tc>
        <w:tc>
          <w:tcPr>
            <w:tcW w:w="10043" w:type="dxa"/>
            <w:tcBorders/>
            <w:vAlign w:val="center"/>
          </w:tcPr>
          <w:p>
            <w:pPr>
              <w:pStyle w:val="TableContents"/>
              <w:bidi w:val="0"/>
              <w:spacing w:before="0" w:after="283"/>
              <w:jc w:val="both"/>
              <w:rPr/>
            </w:pPr>
            <w:hyperlink r:id="rId8">
              <w:r>
                <w:rPr>
                  <w:rStyle w:val="InternetLink"/>
                  <w:rFonts w:ascii="Times New Roman;Times;Serif" w:hAnsi="Times New Roman;Times;Serif"/>
                </w:rPr>
                <w:t>Our Quarterly Report on Form 10-Q for the quarter ended June 30, 2026, filed with the Commission on August 14,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Commission on </w:t>
            </w:r>
            <w:hyperlink r:id="rId9">
              <w:r>
                <w:rPr>
                  <w:rStyle w:val="InternetLink"/>
                  <w:rFonts w:ascii="Times New Roman;Times;Serif" w:hAnsi="Times New Roman;Times;Serif"/>
                </w:rPr>
                <w:t>January 20, 2026</w:t>
              </w:r>
            </w:hyperlink>
            <w:r>
              <w:rPr>
                <w:rFonts w:ascii="Times New Roman;Times;Serif" w:hAnsi="Times New Roman;Times;Serif"/>
              </w:rPr>
              <w:t xml:space="preserve">, </w:t>
            </w:r>
            <w:hyperlink r:id="rId10">
              <w:r>
                <w:rPr>
                  <w:rStyle w:val="InternetLink"/>
                  <w:rFonts w:ascii="Times New Roman;Times;Serif" w:hAnsi="Times New Roman;Times;Serif"/>
                </w:rPr>
                <w:t>March 11, 2026</w:t>
              </w:r>
            </w:hyperlink>
            <w:r>
              <w:rPr>
                <w:rFonts w:ascii="Times New Roman;Times;Serif" w:hAnsi="Times New Roman;Times;Serif"/>
              </w:rPr>
              <w:t xml:space="preserve">, </w:t>
            </w:r>
            <w:hyperlink r:id="rId11">
              <w:r>
                <w:rPr>
                  <w:rStyle w:val="InternetLink"/>
                  <w:rFonts w:ascii="Times New Roman;Times;Serif" w:hAnsi="Times New Roman;Times;Serif"/>
                </w:rPr>
                <w:t>June 4, 2026</w:t>
              </w:r>
            </w:hyperlink>
            <w:r>
              <w:rPr>
                <w:rFonts w:ascii="Times New Roman;Times;Serif" w:hAnsi="Times New Roman;Times;Serif"/>
              </w:rPr>
              <w:t xml:space="preserve">, </w:t>
            </w:r>
            <w:hyperlink r:id="rId12">
              <w:r>
                <w:rPr>
                  <w:rStyle w:val="InternetLink"/>
                  <w:rFonts w:ascii="Times New Roman;Times;Serif" w:hAnsi="Times New Roman;Times;Serif"/>
                </w:rPr>
                <w:t>June 23, 2026</w:t>
              </w:r>
            </w:hyperlink>
            <w:r>
              <w:rPr>
                <w:rFonts w:ascii="Times New Roman;Times;Serif" w:hAnsi="Times New Roman;Times;Serif"/>
              </w:rPr>
              <w:t xml:space="preserve">, </w:t>
            </w:r>
            <w:hyperlink r:id="rId13">
              <w:r>
                <w:rPr>
                  <w:rStyle w:val="InternetLink"/>
                  <w:rFonts w:ascii="Times New Roman;Times;Serif" w:hAnsi="Times New Roman;Times;Serif"/>
                </w:rPr>
                <w:t>August 20, 2026</w:t>
              </w:r>
            </w:hyperlink>
            <w:r>
              <w:rPr>
                <w:rFonts w:ascii="Times New Roman;Times;Serif" w:hAnsi="Times New Roman;Times;Serif"/>
              </w:rPr>
              <w:t xml:space="preserve">, </w:t>
            </w:r>
            <w:hyperlink r:id="rId14">
              <w:r>
                <w:rPr>
                  <w:rStyle w:val="InternetLink"/>
                  <w:rFonts w:ascii="Times New Roman;Times;Serif" w:hAnsi="Times New Roman;Times;Serif"/>
                </w:rPr>
                <w:t>August 28, 2026</w:t>
              </w:r>
            </w:hyperlink>
            <w:r>
              <w:rPr>
                <w:rFonts w:ascii="Times New Roman;Times;Serif" w:hAnsi="Times New Roman;Times;Serif"/>
              </w:rPr>
              <w:t xml:space="preserve"> and </w:t>
            </w:r>
            <w:hyperlink r:id="rId15">
              <w:r>
                <w:rPr>
                  <w:rStyle w:val="InternetLink"/>
                  <w:rFonts w:ascii="Times New Roman;Times;Serif" w:hAnsi="Times New Roman;Times;Serif"/>
                </w:rPr>
                <w:t>September 10, 2026</w:t>
              </w:r>
            </w:hyperlink>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The description of our ADSs and Ordinary Shares set forth in </w:t>
            </w:r>
            <w:hyperlink r:id="rId16">
              <w:r>
                <w:rPr>
                  <w:rStyle w:val="InternetLink"/>
                  <w:rFonts w:ascii="Times New Roman;Times;Serif" w:hAnsi="Times New Roman;Times;Serif"/>
                </w:rPr>
                <w:t>Exhibit 4.17 to the Form 10-K</w:t>
              </w:r>
            </w:hyperlink>
            <w:r>
              <w:rPr>
                <w:rFonts w:ascii="Times New Roman;Times;Serif" w:hAnsi="Times New Roman;Times;Serif"/>
              </w:rPr>
              <w:t>, including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under the terms of Section 13(a), 13(c), 14 or 15(d) of the Exchange Act that are made with the SEC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securities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after the date of this prospectus and until the offering of securities covered by this prospectus has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incorporating, in each case, any documents or information that we are deemed to furnish and not file in accordance with SEC rules. In addition, to the extent that any information contained in any Current Report on Form 8-K, or any exhibit thereto, is or was furnished to, rather than filed with, the SEC, such information or exhibit is specifically not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or any other supplement or amendment forming a part of the registration statement is delivered, including any beneficial owner, upon the written or oral request of such person, a copy of any or all of the documents incorporated by reference herein and therein, including exhibits. Requests should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Ltd.</w:t>
        <w:br/>
        <w:t>42127 Pleasant Forest Ct</w:t>
        <w:br/>
        <w:t>Ashburn, VA 20148</w:t>
        <w:br/>
        <w:t>Attention: Corporate Secretary</w:t>
        <w:br/>
        <w:t>(703) 980-4182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herein shall be deemed to be modified or superseded for purposes of this prospectus to the extent that a statement contained in this prospectus or in any other subsequently filed document which also is or is deemed to be incorporated by reference herein modifies or supersedes that statement.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payable by the Company in connection with the registration and sale of the ADSs representing Ordinary Shares being registered. All amounts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3480" w:type="dxa"/>
        <w:jc w:val="left"/>
        <w:tblInd w:w="0" w:type="dxa"/>
        <w:tblLayout w:type="fixed"/>
        <w:tblCellMar>
          <w:top w:w="0" w:type="dxa"/>
          <w:left w:w="0" w:type="dxa"/>
          <w:bottom w:w="0" w:type="dxa"/>
          <w:right w:w="0" w:type="dxa"/>
        </w:tblCellMar>
      </w:tblPr>
      <w:tblGrid>
        <w:gridCol w:w="2480"/>
        <w:gridCol w:w="60"/>
        <w:gridCol w:w="125"/>
        <w:gridCol w:w="74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40" w:type="dxa"/>
            <w:tcBorders/>
            <w:shd w:fill="CCEEFF" w:val="clear"/>
            <w:vAlign w:val="center"/>
          </w:tcPr>
          <w:p>
            <w:pPr>
              <w:pStyle w:val="TableContents"/>
              <w:bidi w:val="0"/>
              <w:spacing w:before="0" w:after="283"/>
              <w:jc w:val="right"/>
              <w:rPr>
                <w:sz w:val="20"/>
              </w:rPr>
            </w:pPr>
            <w:r>
              <w:rPr>
                <w:sz w:val="20"/>
              </w:rPr>
              <w:t>8,517.97</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expenses not presently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in advance a director from liability arising out of a prohibited dividend or distribution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 Israeli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 which ours do: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reasonably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reasonable litigation expenses, including attorneys’ fees, incurred by the Office Holder (1) as a result of an investigation or proceeding instituted against him or her by an authority authorized to conduct such investigation or proceeding, provided that (a) no indictment was filed against such Office Holder as a result of such investigation or proceeding; and (b)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Israeli Securities Law, a company may insure an Office Holder against the following liabilities incurred for acts performed by him or her as an Office Holder if and to the extent provided in the company’s articles of association: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breach of the duty of loyalty to the company, provided that the Office Holder acted in good faith and had a reasonable basis to believe that the act would not harm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breach of duty of care to the company or to a third party, including a breach arising out of the negligent conduct of the Office Holder;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financial liability imposed on the Office Holder in favor of a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we may insure an Office Holder against the aforementioned liabilities as well as the following liabilities: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4"/>
        <w:gridCol w:w="9914"/>
      </w:tblGrid>
      <w:tr>
        <w:trPr/>
        <w:tc>
          <w:tcPr>
            <w:tcW w:w="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Symbol" w:hAnsi="Symbol"/>
              </w:rPr>
            </w:pPr>
            <w:r>
              <w:rPr>
                <w:rFonts w:ascii="Symbol" w:hAnsi="Symbol"/>
              </w:rPr>
              <w:t>·</w:t>
            </w:r>
          </w:p>
        </w:tc>
        <w:tc>
          <w:tcPr>
            <w:tcW w:w="99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breach of duty of care to the company or to a third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action against which we are permitted by law to insure an Office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expenses incurred and/or paid by the Office Holder in connection with an administrative enforcement procedure under any applicable law including Parts 8(3), 8(4) and 9(1) of the Israeli Securities Law, and a proceeding according to Section D of Chapter 4 in Part 9 of the Companies Law, including reasonable litigation expenses and attorney fees;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payment to a person injured by a violation of Section 52BBB(a)(1)(a) of the Israeli Securities Law;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expenses incurred in connection with a proceeding under the Economic Competition Law 5748-1988, including reasonable litigation expenses and attorney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 Israeli company may not indemnify, exculpate or insure an Office Holder against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breach of the duty of loyalty, except for indemnification and insurance for a breach of the duty of loyalty to the company to the extent that the Office Holder acted in good faith and had a reasonable basis to believe that the act would not harm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breach of duty of care committed intentionally or recklessly, excluding a breach arising solely out of the negligent conduct of the Office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Symbol" w:hAnsi="Symbol"/>
              </w:rPr>
            </w:pPr>
            <w:r>
              <w:rPr>
                <w:rFonts w:ascii="Symbol" w:hAnsi="Symbol"/>
              </w:rPr>
              <w:t>·</w:t>
            </w:r>
          </w:p>
        </w:tc>
        <w:tc>
          <w:tcPr>
            <w:tcW w:w="99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act or omission committed with intent to derive illegal personal benefit;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fine, civil fine, or other financial sanction levied against the Office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exculpation, indemnification and insurance of Office Holders in a public company must be approved by the compensation committee and the board of directors and, with respect to directors and the Chief Executive Officers or under certain circumstances, also by the shareholders. However, under regulations promulgated under the Companies Law, the insurance of Office Holders does not require shareholder approval and may be approved by only the compensation committee, if the engagement terms are determined in accordance with the limitations set forth in the company’s compensation policy, which was approved by the shareholders by the requisite special majority, provided that the insurance policy is on market terms and the insurance policy is not likely to materially impact the company’s profitability, assets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permit us to exculpate, indemnify and insure our Office Holders to the fullest extent permitted or to be permitted by the Companies Law and the Israeli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recommendation of our compensation committee, our board of directors has approved, and our shareholders have approved, at the annual general meeting held on April 12, 2022, the form of indemnification and release agreements to be entered into with each of our current and future directors and executive officers exculpating them, to the fullest extent permitted by law and our articles of association, and undertaking to indemnify them to the fullest extent permitted by law and our articles of association. This indemnification will be limited to events determined as foreseeable by the board of directors based on our activities, and to an amount or according to criteria determined by the board of directors and our compensation committee as reasonable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indemnification amount set forth in our indemnification and release agreements during any period of three years in the aggregate for all of the covered directors and executive officers, is limited to an amount equal to the higher of: (i) $35,000,000 and (ii) 25% of our total shareholders’ equity as reflected in our most recent financial statements as of the time of the actual payment of indemnification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SEC, indemnification of directors and other Office Holders for liabilities arising under the Securities Act, however, is against public policy and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directors’ and officers’ liability insurance for the benefit of our Office Holders and intend to continue to maintain such coverage and pay all premiums thereunder to the fullest extent permitted by the Companies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immediately precedes the Signature Page and which Exhibit Index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3.</w:t>
            </w:r>
          </w:p>
        </w:tc>
        <w:tc>
          <w:tcPr>
            <w:tcW w:w="9991"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1"/>
        <w:gridCol w:w="9919"/>
      </w:tblGrid>
      <w:tr>
        <w:trPr/>
        <w:tc>
          <w:tcPr>
            <w:tcW w:w="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Each prospectus filed by a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i/>
              </w:rPr>
              <w:t>bona fide</w:t>
            </w:r>
            <w:r>
              <w:rPr/>
              <w:t xml:space="preserve"> offering thereof. </w:t>
            </w:r>
            <w:r>
              <w:rPr>
                <w:i/>
              </w:rPr>
              <w:t>Provided</w:t>
            </w:r>
            <w:r>
              <w:rPr/>
              <w:t xml:space="preserve">, </w:t>
            </w:r>
            <w:r>
              <w:rPr>
                <w:i/>
              </w:rPr>
              <w:t>however</w:t>
            </w:r>
            <w: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5.</w:t>
            </w:r>
          </w:p>
        </w:tc>
        <w:tc>
          <w:tcPr>
            <w:tcW w:w="10018" w:type="dxa"/>
            <w:tcBorders/>
            <w:vAlign w:val="center"/>
          </w:tcPr>
          <w:p>
            <w:pPr>
              <w:pStyle w:val="TableContents"/>
              <w:bidi w:val="0"/>
              <w:spacing w:before="0" w:after="283"/>
              <w:jc w:val="both"/>
              <w:rPr/>
            </w:pPr>
            <w:r>
              <w:rPr/>
              <w:t xml:space="preserve">That, for purposes of determining any liability under the Securities Act, each filing of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6.</w:t>
            </w:r>
          </w:p>
        </w:tc>
        <w:tc>
          <w:tcPr>
            <w:tcW w:w="10023"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4290"/>
        <w:gridCol w:w="60"/>
        <w:gridCol w:w="605"/>
        <w:gridCol w:w="60"/>
        <w:gridCol w:w="1760"/>
        <w:gridCol w:w="60"/>
        <w:gridCol w:w="989"/>
        <w:gridCol w:w="60"/>
        <w:gridCol w:w="1371"/>
      </w:tblGrid>
      <w:tr>
        <w:trPr/>
        <w:tc>
          <w:tcPr>
            <w:tcW w:w="10205" w:type="dxa"/>
            <w:gridSpan w:val="11"/>
            <w:tcBorders>
              <w:bottom w:val="single" w:sz="8" w:space="0" w:color="000000"/>
            </w:tcBorders>
            <w:vAlign w:val="center"/>
          </w:tcPr>
          <w:p>
            <w:pPr>
              <w:pStyle w:val="TableContents"/>
              <w:bidi w:val="0"/>
              <w:spacing w:before="0" w:after="283"/>
              <w:jc w:val="center"/>
              <w:rPr/>
            </w:pPr>
            <w:r>
              <w:rPr/>
              <w:t> </w:t>
            </w:r>
          </w:p>
        </w:tc>
      </w:tr>
      <w:tr>
        <w:trPr/>
        <w:tc>
          <w:tcPr>
            <w:tcW w:w="8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42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6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tcMar>
              <w:bottom w:w="0" w:type="dxa"/>
            </w:tcMar>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center"/>
              <w:rPr/>
            </w:pPr>
            <w:r>
              <w:rPr/>
              <w:t> </w:t>
            </w:r>
          </w:p>
        </w:tc>
        <w:tc>
          <w:tcPr>
            <w:tcW w:w="9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60" w:type="dxa"/>
            <w:tcBorders/>
            <w:tcMar>
              <w:bottom w:w="0" w:type="dxa"/>
            </w:tcMar>
            <w:vAlign w:val="center"/>
          </w:tcPr>
          <w:p>
            <w:pPr>
              <w:pStyle w:val="TableContents"/>
              <w:bidi w:val="0"/>
              <w:spacing w:before="0" w:after="283"/>
              <w:jc w:val="center"/>
              <w:rPr/>
            </w:pPr>
            <w:r>
              <w:rPr/>
              <w:t> </w:t>
            </w:r>
          </w:p>
        </w:tc>
        <w:tc>
          <w:tcPr>
            <w:tcW w:w="137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w:t>
              <w:br/>
              <w:t>FURNISHED HEREWITH</w:t>
            </w:r>
          </w:p>
        </w:tc>
      </w:tr>
      <w:tr>
        <w:trPr/>
        <w:tc>
          <w:tcPr>
            <w:tcW w:w="890"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Amended and Restated Articles of Association of Quoin Pharmaceuticals Ltd., as amended.</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19">
              <w:r>
                <w:rPr>
                  <w:rStyle w:val="InternetLink"/>
                  <w:rFonts w:ascii="Times New Roman;Times;Serif" w:hAnsi="Times New Roman;Times;Serif"/>
                  <w:sz w:val="20"/>
                </w:rPr>
                <w:t>10-K</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20">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21">
              <w:r>
                <w:rPr>
                  <w:rStyle w:val="InternetLink"/>
                  <w:rFonts w:ascii="Times New Roman;Times;Serif" w:hAnsi="Times New Roman;Times;Serif"/>
                  <w:sz w:val="20"/>
                </w:rPr>
                <w:t>March 13, 2025</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Amendments to Amended and Restated Articles of Association of Quoin Pharmaceuticals Ltd., adopted on August 21, 2025.</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24">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25">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26">
              <w:r>
                <w:rPr>
                  <w:rStyle w:val="InternetLink"/>
                  <w:rFonts w:ascii="Times New Roman;Times;Serif" w:hAnsi="Times New Roman;Times;Serif"/>
                  <w:sz w:val="20"/>
                </w:rPr>
                <w:t>August 21, 2025</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Form of Deposit Agreement between Cellect Biotechnology Ltd. (n/k/a Quoin Pharmaceuticals Ltd.), The Bank of New York Mellon as Depositary, and owners and holders from time to time of ADSs issued thereunder.</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29">
              <w:r>
                <w:rPr>
                  <w:rStyle w:val="InternetLink"/>
                  <w:rFonts w:ascii="Times New Roman;Times;Serif" w:hAnsi="Times New Roman;Times;Serif"/>
                  <w:sz w:val="20"/>
                </w:rPr>
                <w:t>F-1/A</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30">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31">
              <w:r>
                <w:rPr>
                  <w:rStyle w:val="InternetLink"/>
                  <w:rFonts w:ascii="Times New Roman;Times;Serif" w:hAnsi="Times New Roman;Times;Serif"/>
                  <w:sz w:val="20"/>
                </w:rPr>
                <w:t>July 26, 2016</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sz w:val="20"/>
                </w:rPr>
                <w:t>4.1.1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33">
              <w:r>
                <w:rPr>
                  <w:rStyle w:val="InternetLink"/>
                  <w:rFonts w:ascii="Times New Roman;Times;Serif" w:hAnsi="Times New Roman;Times;Serif"/>
                  <w:sz w:val="20"/>
                </w:rPr>
                <w:t>Specimen American Depositary Receipt (included in Exhibit 4.1).</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4">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35">
              <w:r>
                <w:rPr>
                  <w:rStyle w:val="InternetLink"/>
                  <w:rFonts w:ascii="Times New Roman;Times;Serif" w:hAnsi="Times New Roman;Times;Serif"/>
                  <w:sz w:val="20"/>
                </w:rPr>
                <w:t xml:space="preserve">Form of Pre-Funded Warrant. </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36">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37">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38">
              <w:r>
                <w:rPr>
                  <w:rStyle w:val="InternetLink"/>
                  <w:rFonts w:ascii="Times New Roman;Times;Serif" w:hAnsi="Times New Roman;Times;Serif"/>
                  <w:sz w:val="20"/>
                </w:rPr>
                <w:t>August 28, 2026</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39">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40">
              <w:r>
                <w:rPr>
                  <w:rStyle w:val="InternetLink"/>
                  <w:rFonts w:ascii="Times New Roman;Times;Serif" w:hAnsi="Times New Roman;Times;Serif"/>
                  <w:sz w:val="20"/>
                </w:rPr>
                <w:t xml:space="preserve">Form of Ordinary Warrant. </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4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42">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43">
              <w:r>
                <w:rPr>
                  <w:rStyle w:val="InternetLink"/>
                  <w:rFonts w:ascii="Times New Roman;Times;Serif" w:hAnsi="Times New Roman;Times;Serif"/>
                  <w:sz w:val="20"/>
                </w:rPr>
                <w:t>August 28, 2026</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w:anchor="tm2625587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w:anchor="tm2625587d1_ex5-1.htm">
              <w:r>
                <w:rPr>
                  <w:rStyle w:val="InternetLink"/>
                  <w:rFonts w:ascii="Times New Roman;Times;Serif" w:hAnsi="Times New Roman;Times;Serif"/>
                  <w:sz w:val="20"/>
                </w:rPr>
                <w:t>Legal Opinion of Meitar | Law Offices, Israeli legal counsel to Quoin Pharmaceuticals Ltd.</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hyperlink w:anchor="tm2625587d1_ex5-1.htm">
              <w:r>
                <w:rPr>
                  <w:rStyle w:val="InternetLink"/>
                  <w:rFonts w:ascii="Times New Roman;Times;Serif" w:hAnsi="Times New Roman;Times;Serif"/>
                  <w:b/>
                  <w:sz w:val="20"/>
                </w:rPr>
                <w:t>X</w:t>
              </w:r>
            </w:hyperlink>
          </w:p>
        </w:tc>
      </w:tr>
      <w:tr>
        <w:trPr/>
        <w:tc>
          <w:tcPr>
            <w:tcW w:w="890" w:type="dxa"/>
            <w:tcBorders/>
            <w:tcMar>
              <w:bottom w:w="0" w:type="dxa"/>
            </w:tcMar>
            <w:vAlign w:val="center"/>
          </w:tcPr>
          <w:p>
            <w:pPr>
              <w:pStyle w:val="TableContents"/>
              <w:bidi w:val="0"/>
              <w:spacing w:before="0" w:after="283"/>
              <w:jc w:val="left"/>
              <w:rPr/>
            </w:pPr>
            <w:hyperlink r:id="rId44">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45">
              <w:r>
                <w:rPr>
                  <w:rStyle w:val="InternetLink"/>
                  <w:rFonts w:ascii="Times New Roman;Times;Serif" w:hAnsi="Times New Roman;Times;Serif"/>
                  <w:sz w:val="20"/>
                </w:rPr>
                <w:t>Form of Securities Purchase Agreement, dated August 27, 2026.</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46">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47">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48">
              <w:r>
                <w:rPr>
                  <w:rStyle w:val="InternetLink"/>
                  <w:rFonts w:ascii="Times New Roman;Times;Serif" w:hAnsi="Times New Roman;Times;Serif"/>
                  <w:sz w:val="20"/>
                </w:rPr>
                <w:t>August 28, 2026</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r:id="rId49">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r:id="rId50">
              <w:r>
                <w:rPr>
                  <w:rStyle w:val="InternetLink"/>
                  <w:rFonts w:ascii="Times New Roman;Times;Serif" w:hAnsi="Times New Roman;Times;Serif"/>
                  <w:sz w:val="20"/>
                </w:rPr>
                <w:t>Form of Registration Rights Agreement, dated August 27, 2026.</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hyperlink r:id="rId51">
              <w:r>
                <w:rPr>
                  <w:rStyle w:val="InternetLink"/>
                  <w:rFonts w:ascii="Times New Roman;Times;Serif" w:hAnsi="Times New Roman;Times;Serif"/>
                  <w:sz w:val="20"/>
                </w:rPr>
                <w:t>8-K</w:t>
              </w:r>
            </w:hyperlink>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hyperlink r:id="rId52">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hyperlink r:id="rId53">
              <w:r>
                <w:rPr>
                  <w:rStyle w:val="InternetLink"/>
                  <w:rFonts w:ascii="Times New Roman;Times;Serif" w:hAnsi="Times New Roman;Times;Serif"/>
                  <w:sz w:val="20"/>
                </w:rPr>
                <w:t>August 28, 2026</w:t>
              </w:r>
            </w:hyperlink>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left"/>
              <w:rPr/>
            </w:pPr>
            <w:hyperlink w:anchor="tm2625587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w:anchor="tm2625587d1_ex23-1.htm">
              <w:r>
                <w:rPr>
                  <w:rStyle w:val="InternetLink"/>
                  <w:rFonts w:ascii="Times New Roman;Times;Serif" w:hAnsi="Times New Roman;Times;Serif"/>
                  <w:sz w:val="20"/>
                </w:rPr>
                <w:t>Consent of CBIZ CPAs P.C., Certified Public Accountants.</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hyperlink w:anchor="tm2625587d1_ex23-1.htm">
              <w:r>
                <w:rPr>
                  <w:rStyle w:val="InternetLink"/>
                  <w:rFonts w:ascii="Times New Roman;Times;Serif" w:hAnsi="Times New Roman;Times;Serif"/>
                  <w:b/>
                  <w:sz w:val="20"/>
                </w:rPr>
                <w:t>X</w:t>
              </w:r>
            </w:hyperlink>
          </w:p>
        </w:tc>
      </w:tr>
      <w:tr>
        <w:trPr/>
        <w:tc>
          <w:tcPr>
            <w:tcW w:w="890" w:type="dxa"/>
            <w:tcBorders/>
            <w:tcMar>
              <w:bottom w:w="0" w:type="dxa"/>
            </w:tcMar>
            <w:vAlign w:val="center"/>
          </w:tcPr>
          <w:p>
            <w:pPr>
              <w:pStyle w:val="TableContents"/>
              <w:bidi w:val="0"/>
              <w:spacing w:before="0" w:after="283"/>
              <w:jc w:val="left"/>
              <w:rPr/>
            </w:pPr>
            <w:hyperlink w:anchor="tm2625587d1_ex23-2.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w:anchor="tm2625587d1_ex23-2.htm">
              <w:r>
                <w:rPr>
                  <w:rStyle w:val="InternetLink"/>
                  <w:rFonts w:ascii="Times New Roman;Times;Serif" w:hAnsi="Times New Roman;Times;Serif"/>
                  <w:sz w:val="20"/>
                </w:rPr>
                <w:t>Consent of Marcum LLP.</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hyperlink w:anchor="tm2625587d1_ex23-2.htm">
              <w:r>
                <w:rPr>
                  <w:rStyle w:val="InternetLink"/>
                  <w:rFonts w:ascii="Times New Roman;Times;Serif" w:hAnsi="Times New Roman;Times;Serif"/>
                  <w:b/>
                  <w:sz w:val="20"/>
                </w:rPr>
                <w:t>X</w:t>
              </w:r>
            </w:hyperlink>
          </w:p>
        </w:tc>
      </w:tr>
      <w:tr>
        <w:trPr/>
        <w:tc>
          <w:tcPr>
            <w:tcW w:w="890" w:type="dxa"/>
            <w:tcBorders/>
            <w:tcMar>
              <w:bottom w:w="0" w:type="dxa"/>
            </w:tcMar>
            <w:vAlign w:val="center"/>
          </w:tcPr>
          <w:p>
            <w:pPr>
              <w:pStyle w:val="TableContents"/>
              <w:bidi w:val="0"/>
              <w:spacing w:before="0" w:after="283"/>
              <w:jc w:val="left"/>
              <w:rPr/>
            </w:pPr>
            <w:hyperlink w:anchor="tm2625587d1_ex5-1.htm">
              <w:r>
                <w:rPr>
                  <w:rStyle w:val="InternetLink"/>
                  <w:rFonts w:ascii="Times New Roman;Times;Serif" w:hAnsi="Times New Roman;Times;Serif"/>
                  <w:sz w:val="20"/>
                </w:rPr>
                <w:t>23.3</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w:anchor="tm2625587d1_ex5-1.htm">
              <w:r>
                <w:rPr>
                  <w:rStyle w:val="InternetLink"/>
                  <w:rFonts w:ascii="Times New Roman;Times;Serif" w:hAnsi="Times New Roman;Times;Serif"/>
                  <w:sz w:val="20"/>
                </w:rPr>
                <w:t>Consent of Meitar | Law Offices (included in Exhibit 5.1).</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hyperlink w:anchor="tm2625587d1_ex5-1.htm">
              <w:r>
                <w:rPr>
                  <w:rStyle w:val="InternetLink"/>
                  <w:rFonts w:ascii="Times New Roman;Times;Serif" w:hAnsi="Times New Roman;Times;Serif"/>
                  <w:b/>
                  <w:sz w:val="20"/>
                </w:rPr>
                <w:t>X</w:t>
              </w:r>
            </w:hyperlink>
          </w:p>
        </w:tc>
      </w:tr>
      <w:tr>
        <w:trPr/>
        <w:tc>
          <w:tcPr>
            <w:tcW w:w="890" w:type="dxa"/>
            <w:tcBorders/>
            <w:tcMar>
              <w:bottom w:w="0" w:type="dxa"/>
            </w:tcMar>
            <w:vAlign w:val="center"/>
          </w:tcPr>
          <w:p>
            <w:pPr>
              <w:pStyle w:val="TableContents"/>
              <w:bidi w:val="0"/>
              <w:spacing w:before="0" w:after="283"/>
              <w:jc w:val="left"/>
              <w:rPr/>
            </w:pPr>
            <w:hyperlink w:anchor="a_014">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w:anchor="a_014">
              <w:r>
                <w:rPr>
                  <w:rStyle w:val="InternetLink"/>
                  <w:rFonts w:ascii="Times New Roman;Times;Serif" w:hAnsi="Times New Roman;Times;Serif"/>
                  <w:sz w:val="20"/>
                </w:rPr>
                <w:t>Power of Attorney (included on signature page).  </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hyperlink w:anchor="a_014">
              <w:r>
                <w:rPr>
                  <w:rStyle w:val="InternetLink"/>
                  <w:rFonts w:ascii="Times New Roman;Times;Serif" w:hAnsi="Times New Roman;Times;Serif"/>
                  <w:b/>
                  <w:sz w:val="20"/>
                </w:rPr>
                <w:t>X</w:t>
              </w:r>
            </w:hyperlink>
          </w:p>
        </w:tc>
      </w:tr>
      <w:tr>
        <w:trPr/>
        <w:tc>
          <w:tcPr>
            <w:tcW w:w="890" w:type="dxa"/>
            <w:tcBorders/>
            <w:tcMar>
              <w:bottom w:w="0" w:type="dxa"/>
            </w:tcMar>
            <w:vAlign w:val="center"/>
          </w:tcPr>
          <w:p>
            <w:pPr>
              <w:pStyle w:val="TableContents"/>
              <w:bidi w:val="0"/>
              <w:spacing w:before="0" w:after="283"/>
              <w:jc w:val="left"/>
              <w:rPr/>
            </w:pPr>
            <w:hyperlink w:anchor="tm2625587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4290" w:type="dxa"/>
            <w:tcBorders/>
            <w:tcMar>
              <w:bottom w:w="0" w:type="dxa"/>
            </w:tcMar>
            <w:vAlign w:val="center"/>
          </w:tcPr>
          <w:p>
            <w:pPr>
              <w:pStyle w:val="TableContents"/>
              <w:bidi w:val="0"/>
              <w:spacing w:before="0" w:after="283"/>
              <w:jc w:val="left"/>
              <w:rPr/>
            </w:pPr>
            <w:hyperlink w:anchor="tm2625587d1_ex-filingfees.htm">
              <w:r>
                <w:rPr>
                  <w:rStyle w:val="InternetLink"/>
                  <w:rFonts w:ascii="Times New Roman;Times;Serif" w:hAnsi="Times New Roman;Times;Serif"/>
                  <w:sz w:val="20"/>
                </w:rPr>
                <w:t>Filing Fee Table.</w:t>
              </w:r>
            </w:hyperlink>
          </w:p>
        </w:tc>
        <w:tc>
          <w:tcPr>
            <w:tcW w:w="60" w:type="dxa"/>
            <w:tcBorders/>
            <w:tcMar>
              <w:bottom w:w="0" w:type="dxa"/>
            </w:tcMar>
            <w:vAlign w:val="center"/>
          </w:tcPr>
          <w:p>
            <w:pPr>
              <w:pStyle w:val="TableContents"/>
              <w:bidi w:val="0"/>
              <w:spacing w:before="0" w:after="283"/>
              <w:jc w:val="both"/>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1" w:type="dxa"/>
            <w:tcBorders/>
            <w:tcMar>
              <w:bottom w:w="0" w:type="dxa"/>
            </w:tcMar>
            <w:vAlign w:val="center"/>
          </w:tcPr>
          <w:p>
            <w:pPr>
              <w:pStyle w:val="TableContents"/>
              <w:bidi w:val="0"/>
              <w:spacing w:before="0" w:after="283"/>
              <w:jc w:val="center"/>
              <w:rPr/>
            </w:pPr>
            <w:hyperlink w:anchor="tm2625587d1_ex-filingfees.htm">
              <w:r>
                <w:rPr>
                  <w:rStyle w:val="InternetLink"/>
                  <w:rFonts w:ascii="Times New Roman;Times;Serif" w:hAnsi="Times New Roman;Times;Serif"/>
                  <w:b/>
                  <w:sz w:val="20"/>
                </w:rPr>
                <w:t>X</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Ashburn, Commonwealth of Virginia, on the 18th day of September, 2026.</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340"/>
        <w:gridCol w:w="2079"/>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Myers</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Michael Myers</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POWERS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Dr. Michael Myers and Denise Carter, and each of them, his or her true and lawful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said attorneys-in-fact and agents, or either of them, or their substitute or substitutes,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1790"/>
        <w:gridCol w:w="60"/>
        <w:gridCol w:w="5015"/>
        <w:gridCol w:w="60"/>
        <w:gridCol w:w="1655"/>
      </w:tblGrid>
      <w:tr>
        <w:trPr/>
        <w:tc>
          <w:tcPr>
            <w:tcW w:w="179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90" w:type="dxa"/>
            <w:tcBorders/>
            <w:vAlign w:val="center"/>
          </w:tcPr>
          <w:p>
            <w:pPr>
              <w:pStyle w:val="TableContents"/>
              <w:bidi w:val="0"/>
              <w:spacing w:before="0" w:after="283"/>
              <w:jc w:val="center"/>
              <w:rPr/>
            </w:pPr>
            <w:r>
              <w:rPr/>
              <w:t> </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Michael Myers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Myers</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and Chief Executive Officer</w:t>
              <w:br/>
              <w:t>(Principal Executive Officer)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Sally Lawlor</w:t>
            </w:r>
          </w:p>
        </w:tc>
        <w:tc>
          <w:tcPr>
            <w:tcW w:w="507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Sally Lawlor</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Denise Carter</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Denise Carter</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and Chief Operating Officer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Joseph Cooper</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Joseph Cooper</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James Culverwell</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James Culverwell</w:t>
            </w:r>
          </w:p>
        </w:tc>
        <w:tc>
          <w:tcPr>
            <w:tcW w:w="507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50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Dr. Dennis Langer</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Dr. Dennis Langer</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Natalie Leong</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Natalie Leong</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Sember</w:t>
            </w:r>
          </w:p>
        </w:tc>
        <w:tc>
          <w:tcPr>
            <w:tcW w:w="5075" w:type="dxa"/>
            <w:gridSpan w:val="2"/>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Sember</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Quoin Pharmaceuticals Ltd., has signed this Registration Statement in Ashburn, Virginia on September 18, 2026.</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374"/>
        <w:gridCol w:w="2285"/>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U.S. Representative</w:t>
              <w:br/>
              <w:t>Dr. Michael Myers</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Myers</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Michael Myers</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bookmarkStart w:id="16" w:name="tm2625587d1_ex5-1.htm"/>
      <w:bookmarkStart w:id="17" w:name="kstm2625587d1_ex5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53075" cy="91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4"/>
                    <a:stretch>
                      <a:fillRect/>
                    </a:stretch>
                  </pic:blipFill>
                  <pic:spPr bwMode="auto">
                    <a:xfrm>
                      <a:off x="0" y="0"/>
                      <a:ext cx="5553075" cy="914400"/>
                    </a:xfrm>
                    <a:prstGeom prst="rect">
                      <a:avLst/>
                    </a:prstGeom>
                  </pic:spPr>
                </pic:pic>
              </a:graphicData>
            </a:graphic>
          </wp:inline>
        </w:drawing>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w:t>
      </w:r>
    </w:p>
    <w:p>
      <w:pPr>
        <w:pStyle w:val="TextBody"/>
        <w:bidi w:val="0"/>
        <w:spacing w:before="0" w:after="0"/>
        <w:ind w:left="0" w:right="0" w:firstLine="14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i w:val="false"/>
          <w:caps w:val="false"/>
          <w:smallCaps w:val="false"/>
          <w:sz w:val="20"/>
          <w:u w:val="single"/>
        </w:rPr>
        <w:t>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to Quoin Pharmaceuticals Ltd., a company organized under the laws of the State of Israel (the “Company”), in connection with the registration statement on Form S-3 (the “Registration Statement”) filed by the Company with the Securities and Exchange Commission (the “Commission”) on the date hereof under the Securities Act of 1933, as amended (the “Securities Act”), with respect to the resale from time to time by the selling shareholders identified therein (the “Selling Shareholders”) of up to 9,371,895 American Depositary Shares (“ADSs”) representing 328,016,325 ordinary shares, no par value, of the Company (“Ordinary Shares”), consisting of (i) 2,445,800 ADSs (the “Offered ADSs”) issued pursuant to that certain securities purchase agreement, dated as of August 27, 2026 (the “Purchase Agreement”), by and among the Company and the purchasers named therein (the “Purchasers”), (ii) 3,802,130 ADSs (the “Pre-Funded ADSs”) issued or issuable upon the exercise of pre-funded warrants (the “Pre-Funded Warrants”) issued pursuant to the Purchase Agreement, and (iii) 3,123,965 ADSs (the “Ordinary Warrant ADSs”) issuable upon the exercise of ordinary warrants (the “Ordinary Warrants” and together with the Pre-Funded Warrants, the “Warrants”) issued together with the Offered ADSs or the Pre-Funded Warrants, as applicable, pursuant to the Purchase Agreement.</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pursuant to Items 601(b)(5) and (b)(23) of Regulation S-K promulgated under the Securities Act.</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originals, or photocopies or copies, certified or otherwise identified to our satisfaction, of: (i) the Registration Statement; (ii) the Prospectus; (iii) the Purchase Agreement; (iv) the Registration Rights Agreement, dated as of August 27, 2026, by and among the Company and the Purchasers (the “Registration Rights Agreement”); (v) the forms of Pre-Funded Warrant and Ordinary Warrant; (vi) the articles of association of the Company, as currently in effect; (vii) resolutions of the board of directors (the “Board”) of the Company which have heretofore been approved and relate to the Registration Statement, the Prospectus and other actions to be taken in connection with the registration; and (viii)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inquiries of such officers as we have deemed relevant and necessary as a basis for the opinions hereafter set forth.</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admitted to practice law in the State of Israel and the opinion expressed herein is expressly limited to the laws of the State of Israel.</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(i) the Ordinary Shares underlying the Offered ADSs have been duly authorized, validly issued, fully paid and non-assessable, and (ii) the Ordinary Shares underlying the Warrants have been duly authorized, and when any Warrant is exercised pursuant to the terms thereof, the Ordinary Shares underlying the ADSs issuable at that time by the Company will be validly issued, fully paid and non-assessable.</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foregoing opinions, we have assumed that the issuance of any Ordinary Shares (including Ordinary Shares represented by ADSs) underlying the Warrants that would cause the holder thereof, together with its affiliates, to exceed the beneficial ownership limitations set forth in the terms of such Warrants remains subject to receipt of shareholder approval prior to such issuance in accordance with the terms of the Purchase Agreement.</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to the reference to our firm appearing under the caption “Legal Matters” in the prospectus forming part of the Registration Statement. In giving this consent, we do not thereby admit that we are within the category of persons whose consent is required under Section 7 of the Securities Act, the rules and regulations of the Commission promulgated thereunder or Item 509 of the SEC’s Regulation S-K under the Securities Act.</w:t>
      </w:r>
    </w:p>
    <w:p>
      <w:pPr>
        <w:pStyle w:val="TextBody"/>
        <w:bidi w:val="0"/>
        <w:spacing w:before="0" w:after="0"/>
        <w:ind w:left="0" w:right="0" w:firstLine="389"/>
        <w:jc w:val="both"/>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date of the Prospectus that may alter, affect or modify the opinions expressed herein. </w:t>
      </w:r>
    </w:p>
    <w:p>
      <w:pPr>
        <w:pStyle w:val="TextBody"/>
        <w:bidi w:val="0"/>
        <w:spacing w:before="0" w:after="0"/>
        <w:ind w:left="0" w:right="0" w:firstLine="389"/>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75"/>
        <w:gridCol w:w="1910"/>
      </w:tblGrid>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/s/ Meitar | Law Offices</w:t>
            </w:r>
          </w:p>
        </w:tc>
      </w:tr>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Meitar | Law Offices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18" w:name="tm2625587d1_ex23-1.htm"/>
      <w:bookmarkStart w:id="19" w:name="kstm2625587d1_ex23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26, 2026, with respect to the financial statements of Quoin Pharmaceuticals Ltd. included in the Annual Report on Form 10-K of Quoin Pharmaceuticals Ltd.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Morristown,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0" w:name="tm2625587d1_ex23-2.htm"/>
      <w:bookmarkStart w:id="21" w:name="kstm2625587d1_ex232"/>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w:t>
      </w:r>
      <w:r>
        <w:rPr>
          <w:rFonts w:ascii="Times New Roman;Times;Serif" w:hAnsi="Times New Roman;Times;Serif"/>
          <w:b/>
          <w:i w:val="false"/>
          <w:caps/>
          <w:sz w:val="20"/>
        </w:rPr>
        <w: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13, 2025 relating to the financial statements appearing in the Annual Report on Form 10-K of Quoin Pharmaceuticals Ltd.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Morristown,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ind w:left="0" w:right="0" w:hanging="0"/>
        <w:jc w:val="left"/>
        <w:rPr>
          <w:sz w:val="4"/>
          <w:szCs w:val="4"/>
        </w:rPr>
      </w:pPr>
      <w:r>
        <w:rPr>
          <w:sz w:val="4"/>
          <w:szCs w:val="4"/>
        </w:rPr>
      </w:r>
      <w:bookmarkStart w:id="22" w:name="tm2625587d1_ex-filingfees.htm"/>
      <w:bookmarkStart w:id="23" w:name="kstm2625587d1_exfilingfees"/>
      <w:bookmarkStart w:id="24" w:name="tm2625587d1_ex-filingfees.htm"/>
      <w:bookmarkStart w:id="25" w:name="kstm2625587d1_exfilingfees"/>
      <w:bookmarkEnd w:id="24"/>
      <w:bookmarkEnd w:id="25"/>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Quoin Pharmaceuticals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24" w:type="dxa"/>
        <w:jc w:val="left"/>
        <w:tblInd w:w="0" w:type="dxa"/>
        <w:tblLayout w:type="fixed"/>
        <w:tblCellMar>
          <w:top w:w="28" w:type="dxa"/>
          <w:left w:w="28" w:type="dxa"/>
          <w:bottom w:w="28" w:type="dxa"/>
          <w:right w:w="28" w:type="dxa"/>
        </w:tblCellMar>
      </w:tblPr>
      <w:tblGrid>
        <w:gridCol w:w="1126"/>
        <w:gridCol w:w="226"/>
        <w:gridCol w:w="946"/>
        <w:gridCol w:w="138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8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Ordinary shares, no par value per share ("Ordinary Shares"), represented by American Depositary Shares ("ADSs")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9,371,895 </w:t>
            </w:r>
          </w:p>
        </w:tc>
        <w:tc>
          <w:tcPr>
            <w:tcW w:w="1156" w:type="dxa"/>
            <w:tcBorders/>
            <w:shd w:fill="E7E7E2" w:val="clear"/>
            <w:vAlign w:val="center"/>
          </w:tcPr>
          <w:p>
            <w:pPr>
              <w:pStyle w:val="TableContents"/>
              <w:bidi w:val="0"/>
              <w:spacing w:before="0" w:after="283"/>
              <w:jc w:val="right"/>
              <w:rPr/>
            </w:pPr>
            <w:r>
              <w:rPr/>
              <w:t xml:space="preserve">$ 6.58135 </w:t>
            </w:r>
          </w:p>
        </w:tc>
        <w:tc>
          <w:tcPr>
            <w:tcW w:w="1666" w:type="dxa"/>
            <w:tcBorders/>
            <w:shd w:fill="E7E7E2" w:val="clear"/>
            <w:vAlign w:val="center"/>
          </w:tcPr>
          <w:p>
            <w:pPr>
              <w:pStyle w:val="TableContents"/>
              <w:bidi w:val="0"/>
              <w:spacing w:before="0" w:after="283"/>
              <w:jc w:val="right"/>
              <w:rPr/>
            </w:pPr>
            <w:r>
              <w:rPr/>
              <w:t xml:space="preserve">$ 61,679,721.16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$ 8,517.97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4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6" w:name="MaxAggtOfferingPrice"/>
            <w:bookmarkEnd w:id="26"/>
            <w:r>
              <w:rPr/>
              <w:t xml:space="preserve">$ 61,679,721.16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$ 8,517.97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4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4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4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$ 8,517.97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All of the ADSs issuable upon deposit of Ordinary Shares registered hereby are for the account of the Selling Stockholders named in this registration statement. Pursuant to Rule 416 under the Securities Act of 1933, as amended (the "Securities Act"), this Registration Statement shall also cover any additional securities of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Registrant's outstanding securities. ADSs issuable upon deposit of Ordinary Shares registered hereby have been registered under a separate registration statement on Form F-6 (Registration No. 333-212698) filed with the Securities and Exchange Commission. Each ADS represents thirty-five (35) Ordinary Shares. Estimated solely for the purpose of calculating the amount of the registration fee pursuant to Rule 457(c) and Rule 457(h) promulgated under the Securities Act. The offering price per ADS and the aggregate offering price are based upon the average of the high ($6.89) and low ($6.2727) sales prices per share of the Registrant's ADSs as reported on the Nasdaq Capital Market as of September 15,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71502/000110465926035251/qnrx-20251231x10k.htm" TargetMode="External"/><Relationship Id="rId4" Type="http://schemas.openxmlformats.org/officeDocument/2006/relationships/hyperlink" Target="https://www.sec.gov/ix?doc=/Archives/edgar/data/1671502/000110465926035251/qnrx-20251231x10k.htm" TargetMode="External"/><Relationship Id="rId5" Type="http://schemas.openxmlformats.org/officeDocument/2006/relationships/hyperlink" Target="https://www.sec.gov/ix?doc=/Archives/edgar/data/1671502/000110465926056941/qnrx-20260331x10q.htm" TargetMode="External"/><Relationship Id="rId6" Type="http://schemas.openxmlformats.org/officeDocument/2006/relationships/hyperlink" Target="https://www.sec.gov/ix?doc=/Archives/edgar/data/1671502/000110465926056941/qnrx-20260331x10q.htm" TargetMode="External"/><Relationship Id="rId7" Type="http://schemas.openxmlformats.org/officeDocument/2006/relationships/hyperlink" Target="https://www.sec.gov/ix?doc=/Archives/edgar/data/1671502/000110465926097064/qnrx-20260630x10q.htm" TargetMode="External"/><Relationship Id="rId8" Type="http://schemas.openxmlformats.org/officeDocument/2006/relationships/hyperlink" Target="https://www.sec.gov/ix?doc=/Archives/edgar/data/1671502/000110465926097064/qnrx-20260630x10q.htm" TargetMode="External"/><Relationship Id="rId9" Type="http://schemas.openxmlformats.org/officeDocument/2006/relationships/hyperlink" Target="https://www.sec.gov/ix?doc=/Archives/edgar/data/1671502/000110465926005127/tm263667d1_8k.htm" TargetMode="External"/><Relationship Id="rId10" Type="http://schemas.openxmlformats.org/officeDocument/2006/relationships/hyperlink" Target="https://www.sec.gov/ix?doc=/Archives/edgar/data/1671502/000110465926026410/tm268576d1_8k.htm" TargetMode="External"/><Relationship Id="rId11" Type="http://schemas.openxmlformats.org/officeDocument/2006/relationships/hyperlink" Target="https://www.sec.gov/ix?doc=/Archives/edgar/data/1671502/000110465926070501/tm2616916d1_8k.htm" TargetMode="External"/><Relationship Id="rId12" Type="http://schemas.openxmlformats.org/officeDocument/2006/relationships/hyperlink" Target="https://www.sec.gov/ix?doc=/Archives/edgar/data/1671502/000110465926076822/tm2618505d1_8k.htm" TargetMode="External"/><Relationship Id="rId13" Type="http://schemas.openxmlformats.org/officeDocument/2006/relationships/hyperlink" Target="https://www.sec.gov/ix?doc=/Archives/edgar/data/1671502/000110465926099239/tm2623719d1_8k.htm" TargetMode="External"/><Relationship Id="rId14" Type="http://schemas.openxmlformats.org/officeDocument/2006/relationships/hyperlink" Target="https://www.sec.gov/ix?doc=/Archives/edgar/data/1671502/000110465926102917/tm2624258d1_8k.htm" TargetMode="External"/><Relationship Id="rId15" Type="http://schemas.openxmlformats.org/officeDocument/2006/relationships/hyperlink" Target="https://www.sec.gov/ix?doc=/Archives/edgar/data/1671502/000110465926106705/tm2625203d1_8k.htm" TargetMode="External"/><Relationship Id="rId16" Type="http://schemas.openxmlformats.org/officeDocument/2006/relationships/hyperlink" Target="https://www.sec.gov/Archives/edgar/data/1671502/000110465926035251/qnrx-20251231xex4d17.htm" TargetMode="External"/><Relationship Id="rId17" Type="http://schemas.openxmlformats.org/officeDocument/2006/relationships/hyperlink" Target="https://www.sec.gov/Archives/edgar/data/1671502/000141057825000336/qnrx-20241231xex3d1.htm" TargetMode="External"/><Relationship Id="rId18" Type="http://schemas.openxmlformats.org/officeDocument/2006/relationships/hyperlink" Target="https://www.sec.gov/Archives/edgar/data/1671502/000141057825000336/qnrx-20241231xex3d1.htm" TargetMode="External"/><Relationship Id="rId19" Type="http://schemas.openxmlformats.org/officeDocument/2006/relationships/hyperlink" Target="https://www.sec.gov/Archives/edgar/data/1671502/000141057825000336/qnrx-20241231xex3d1.htm" TargetMode="External"/><Relationship Id="rId20" Type="http://schemas.openxmlformats.org/officeDocument/2006/relationships/hyperlink" Target="https://www.sec.gov/Archives/edgar/data/1671502/000141057825000336/qnrx-20241231xex3d1.htm" TargetMode="External"/><Relationship Id="rId21" Type="http://schemas.openxmlformats.org/officeDocument/2006/relationships/hyperlink" Target="https://www.sec.gov/Archives/edgar/data/1671502/000141057825000336/qnrx-20241231xex3d1.htm" TargetMode="External"/><Relationship Id="rId22" Type="http://schemas.openxmlformats.org/officeDocument/2006/relationships/hyperlink" Target="https://www.sec.gov/Archives/edgar/data/1671502/000110465925081480/tm2524078d1_ex3-1.htm" TargetMode="External"/><Relationship Id="rId23" Type="http://schemas.openxmlformats.org/officeDocument/2006/relationships/hyperlink" Target="https://www.sec.gov/Archives/edgar/data/1671502/000110465925081480/tm2524078d1_ex3-1.htm" TargetMode="External"/><Relationship Id="rId24" Type="http://schemas.openxmlformats.org/officeDocument/2006/relationships/hyperlink" Target="https://www.sec.gov/Archives/edgar/data/1671502/000110465925081480/tm2524078d1_ex3-1.htm" TargetMode="External"/><Relationship Id="rId25" Type="http://schemas.openxmlformats.org/officeDocument/2006/relationships/hyperlink" Target="https://www.sec.gov/Archives/edgar/data/1671502/000110465925081480/tm2524078d1_ex3-1.htm" TargetMode="External"/><Relationship Id="rId26" Type="http://schemas.openxmlformats.org/officeDocument/2006/relationships/hyperlink" Target="https://www.sec.gov/Archives/edgar/data/1671502/000110465925081480/tm2524078d1_ex3-1.htm" TargetMode="External"/><Relationship Id="rId27" Type="http://schemas.openxmlformats.org/officeDocument/2006/relationships/hyperlink" Target="https://www.sec.gov/Archives/edgar/data/1671502/000114420416114563/v444964_ex4-1.htm" TargetMode="External"/><Relationship Id="rId28" Type="http://schemas.openxmlformats.org/officeDocument/2006/relationships/hyperlink" Target="https://www.sec.gov/Archives/edgar/data/1671502/000114420416114563/v444964_ex4-1.htm" TargetMode="External"/><Relationship Id="rId29" Type="http://schemas.openxmlformats.org/officeDocument/2006/relationships/hyperlink" Target="https://www.sec.gov/Archives/edgar/data/1671502/000114420416114563/v444964_ex4-1.htm" TargetMode="External"/><Relationship Id="rId30" Type="http://schemas.openxmlformats.org/officeDocument/2006/relationships/hyperlink" Target="https://www.sec.gov/Archives/edgar/data/1671502/000114420416114563/v444964_ex4-1.htm" TargetMode="External"/><Relationship Id="rId31" Type="http://schemas.openxmlformats.org/officeDocument/2006/relationships/hyperlink" Target="https://www.sec.gov/Archives/edgar/data/1671502/000114420416114563/v444964_ex4-1.htm" TargetMode="External"/><Relationship Id="rId32" Type="http://schemas.openxmlformats.org/officeDocument/2006/relationships/hyperlink" Target="https://www.sec.gov/Archives/edgar/data/1671502/000114420416114563/v444964_ex4-1.htm" TargetMode="External"/><Relationship Id="rId33" Type="http://schemas.openxmlformats.org/officeDocument/2006/relationships/hyperlink" Target="https://www.sec.gov/Archives/edgar/data/1671502/000114420416114563/v444964_ex4-1.htm" TargetMode="External"/><Relationship Id="rId34" Type="http://schemas.openxmlformats.org/officeDocument/2006/relationships/hyperlink" Target="https://www.sec.gov/Archives/edgar/data/1671502/000110465926102917/tm2624258d1_ex4-1.htm" TargetMode="External"/><Relationship Id="rId35" Type="http://schemas.openxmlformats.org/officeDocument/2006/relationships/hyperlink" Target="https://www.sec.gov/Archives/edgar/data/1671502/000110465926102917/tm2624258d1_ex4-1.htm" TargetMode="External"/><Relationship Id="rId36" Type="http://schemas.openxmlformats.org/officeDocument/2006/relationships/hyperlink" Target="https://www.sec.gov/Archives/edgar/data/1671502/000110465926102917/tm2624258d1_ex4-1.htm" TargetMode="External"/><Relationship Id="rId37" Type="http://schemas.openxmlformats.org/officeDocument/2006/relationships/hyperlink" Target="https://www.sec.gov/Archives/edgar/data/1671502/000110465926102917/tm2624258d1_ex4-1.htm" TargetMode="External"/><Relationship Id="rId38" Type="http://schemas.openxmlformats.org/officeDocument/2006/relationships/hyperlink" Target="https://www.sec.gov/Archives/edgar/data/1671502/000110465926102917/tm2624258d1_ex4-1.htm" TargetMode="External"/><Relationship Id="rId39" Type="http://schemas.openxmlformats.org/officeDocument/2006/relationships/hyperlink" Target="https://www.sec.gov/Archives/edgar/data/1671502/000110465926102917/tm2624258d1_ex4-2.htm" TargetMode="External"/><Relationship Id="rId40" Type="http://schemas.openxmlformats.org/officeDocument/2006/relationships/hyperlink" Target="https://www.sec.gov/Archives/edgar/data/1671502/000110465926102917/tm2624258d1_ex4-2.htm" TargetMode="External"/><Relationship Id="rId41" Type="http://schemas.openxmlformats.org/officeDocument/2006/relationships/hyperlink" Target="https://www.sec.gov/Archives/edgar/data/1671502/000110465926102917/tm2624258d1_ex4-2.htm" TargetMode="External"/><Relationship Id="rId42" Type="http://schemas.openxmlformats.org/officeDocument/2006/relationships/hyperlink" Target="https://www.sec.gov/Archives/edgar/data/1671502/000110465926102917/tm2624258d1_ex4-2.htm" TargetMode="External"/><Relationship Id="rId43" Type="http://schemas.openxmlformats.org/officeDocument/2006/relationships/hyperlink" Target="https://www.sec.gov/Archives/edgar/data/1671502/000110465926102917/tm2624258d1_ex4-2.htm" TargetMode="External"/><Relationship Id="rId44" Type="http://schemas.openxmlformats.org/officeDocument/2006/relationships/hyperlink" Target="https://www.sec.gov/Archives/edgar/data/1671502/000110465926102917/tm2624258d1_ex10-1.htm" TargetMode="External"/><Relationship Id="rId45" Type="http://schemas.openxmlformats.org/officeDocument/2006/relationships/hyperlink" Target="https://www.sec.gov/Archives/edgar/data/1671502/000110465926102917/tm2624258d1_ex10-1.htm" TargetMode="External"/><Relationship Id="rId46" Type="http://schemas.openxmlformats.org/officeDocument/2006/relationships/hyperlink" Target="https://www.sec.gov/Archives/edgar/data/1671502/000110465926102917/tm2624258d1_ex10-1.htm" TargetMode="External"/><Relationship Id="rId47" Type="http://schemas.openxmlformats.org/officeDocument/2006/relationships/hyperlink" Target="https://www.sec.gov/Archives/edgar/data/1671502/000110465926102917/tm2624258d1_ex10-1.htm" TargetMode="External"/><Relationship Id="rId48" Type="http://schemas.openxmlformats.org/officeDocument/2006/relationships/hyperlink" Target="https://www.sec.gov/Archives/edgar/data/1671502/000110465926102917/tm2624258d1_ex10-1.htm" TargetMode="External"/><Relationship Id="rId49" Type="http://schemas.openxmlformats.org/officeDocument/2006/relationships/hyperlink" Target="https://www.sec.gov/Archives/edgar/data/1671502/000110465926102917/tm2624258d1_ex10-2.htm" TargetMode="External"/><Relationship Id="rId50" Type="http://schemas.openxmlformats.org/officeDocument/2006/relationships/hyperlink" Target="https://www.sec.gov/Archives/edgar/data/1671502/000110465926102917/tm2624258d1_ex10-2.htm" TargetMode="External"/><Relationship Id="rId51" Type="http://schemas.openxmlformats.org/officeDocument/2006/relationships/hyperlink" Target="https://www.sec.gov/Archives/edgar/data/1671502/000110465926102917/tm2624258d1_ex10-2.htm" TargetMode="External"/><Relationship Id="rId52" Type="http://schemas.openxmlformats.org/officeDocument/2006/relationships/hyperlink" Target="https://www.sec.gov/Archives/edgar/data/1671502/000110465926102917/tm2624258d1_ex10-2.htm" TargetMode="External"/><Relationship Id="rId53" Type="http://schemas.openxmlformats.org/officeDocument/2006/relationships/hyperlink" Target="https://www.sec.gov/Archives/edgar/data/1671502/000110465926102917/tm2624258d1_ex10-2.htm" TargetMode="External"/><Relationship Id="rId54" Type="http://schemas.openxmlformats.org/officeDocument/2006/relationships/image" Target="media/image2.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19328</Words>
  <Characters>103823</Characters>
  <CharactersWithSpaces>123332</CharactersWithSpaces>
  <Paragraphs>1605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