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822-1_pre14a.htm"/>
        <w:bookmarkStart w:id="1" w:name="kstm26258221_pre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UNITED STATES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SECURITIES AND EXCHANGE COMMISSION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 INFORMATION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Proxy Statement Pursuant to Section 14(a) of</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the Securities Exchange Act of 1934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 240.14a-12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Quoin Pharmaceuticals Ltd.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cordially invited to attend a special general meeting of shareholders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xml:space="preserve">”) of Quoin Pharmaceuticals Ltd. The Special Meeting will be held on November 12, 2026 at 12:00 p.m., US Eastern Time, at the offices of Blank Rome LLP located at One Logan Square, Philadelphia, Pennsylvania 19103.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notice of the Special Meeting and the accompanying proxy statement describe in detail the matters to be acted upon at the Special Meeting. Our board of directors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proposals set forth in the accompanying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and the proxy statement, as well as the proxy card or voting instruction form, as applicable, are being first distributed and made available to shareholders on or about [•],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fixed the close of business on September 23, 2026 as the record date for the determination of shareholders entitled to receive notice of, and to vote on the matters proposed at, the Special Meeting and any adjournment or postponement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Special Meeting. Accordingly, I urge you to vote by marking, signing and dating the accompanying proxy card, and returning it promptly. If your ADSs are held in an account at a bank, broker or another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look forward to seeing you at the Special Meeting.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 of Directors and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5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Thursday, November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to the holders of ordinary shares, no par value per share (the “Ordinary Shares”), as well as holders of Ordinary Shares that are represented by American Depositary Shares (“ADSs”), collectively referred to as “shareholders,” of Quoin Pharmaceuticals Ltd. (“Quoin,” the “Company,” “we,” “us,” “our”) in connection with the solicitation by our board of directors (the “Board”) of proxies for use at a special general meeting of shareholders (the “Special Meeting”) to be held on Thursday, November 12, 2026, at 12:00 p.m., US Eastern Time, at the offices of Blank Rome LLP located at One Logan Square, Philadelphia, Pennsylvania 19103.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being called for the following purposes: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Israeli Companies Law, 5759-1999 (the “Companies Law”); and </w:t>
      </w:r>
      <w:r>
        <mc:AlternateContent>
          <mc:Choice Requires="wps">
            <w:drawing>
              <wp:anchor behindDoc="0" distT="10541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adjournment of the Special Meeting to a later date, if necessary or appropriate, to permit further solicitation and vote of proxies in the event that there are insufficient votes for, or otherwise in connection with, the approval of Proposal 1. </w:t>
      </w:r>
      <w:r>
        <mc:AlternateContent>
          <mc:Choice Requires="wps">
            <w:drawing>
              <wp:anchor behindDoc="0" distT="10414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shareholders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Proposals 1 and 2 as described in the accompanying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not aware of any other matters that will come before the Special Meeting. If any other matters are presented properly at the Special Meeting, it is intended that the persons designated as proxies will vote upon such matters in accordance with their best judgment.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Special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Special Meeting, the Special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has fixed the close of business on September 23, 2026 as the record date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for determining those shareholders who will be entitled to (i) receive copies of this Notice and the attached proxy statement, and (ii) vote on each of the proposals described in the attached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statement describing the various matters to be voted upon at the Special Meeting, along with a proxy card or voting instruction form, as applicable, enabling the shareholders to indicate their vote on each matter, are being distributed and made available to all of the Company’s shareholders as of the Record Date on or about [•],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must submit their proxy cards to Quoin c/o Quoin Pharmaceuticals Ltd. at 42127 Pleasant Forest Court, Ashburn, Virginia 20148, so that such proxy cards are received no later than twenty-four (24) hours prior to the scheduled date and time of the Special Meeting. Holders of ADSs, with each ADS representing thirty-five (35) ordinary shares, should return their proxy cards by the date and in the manner set forth on their proxy cards.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in “street name” ​(meaning held through a bank, broker or other nominee), such bank, broker or other nominee will provide you with instructions on how you may give voting instructions with respect to the ordinary shares underlying your ADSs. Please check with your broker, bank or other nominee, as applicable, and carefully follow the voting procedures provided to you.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Special Meeting of Shareholders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Thursday, November 12, 2026 at 12:00 p.m., US Eastern Time,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 the offices of Blank Rome LLP located at One Logan Square, Philadelphia, Pennsylvania 19103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is available at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caps w:val="false"/>
          <w:smallCaps w:val="false"/>
          <w:color w:val="000000"/>
          <w:spacing w:val="-4"/>
          <w:sz w:val="20"/>
        </w:rPr>
        <w:t>https://investors.quoinpharma.com/proxy-statement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2026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5"/>
        <w:gridCol w:w="109"/>
        <w:gridCol w:w="109"/>
        <w:gridCol w:w="109"/>
        <w:gridCol w:w="109"/>
        <w:gridCol w:w="40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PSS">
              <w:r>
                <w:rPr>
                  <w:rStyle w:val="InternetLink"/>
                  <w:spacing w:val="4"/>
                </w:rPr>
                <w:t xml:space="preserve">Proxy Statement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PSS">
              <w:r>
                <w:rPr>
                  <w:rStyle w:val="InternetLink"/>
                  <w:spacing w:val="4"/>
                </w:rPr>
                <w:t>1</w:t>
              </w:r>
            </w:hyperlink>
            <w:hyperlink w:anchor="tP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QAAA">
              <w:r>
                <w:rPr>
                  <w:rStyle w:val="InternetLink"/>
                  <w:spacing w:val="4"/>
                </w:rPr>
                <w:t xml:space="preserve">Questions and Answers About These Proxy Materials and Voting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QAAA">
              <w:r>
                <w:rPr>
                  <w:rStyle w:val="InternetLink"/>
                  <w:spacing w:val="4"/>
                </w:rPr>
                <w:t>2</w:t>
              </w:r>
            </w:hyperlink>
            <w:hyperlink w:anchor="tQA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P1BO">
              <w:r>
                <w:rPr>
                  <w:rStyle w:val="InternetLink"/>
                  <w:spacing w:val="4"/>
                </w:rPr>
                <w:t xml:space="preserve">Proposal 1 – The Beneficial Ownership Limitation Amendment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P1BO">
              <w:r>
                <w:rPr>
                  <w:rStyle w:val="InternetLink"/>
                  <w:spacing w:val="4"/>
                </w:rPr>
                <w:t>6</w:t>
              </w:r>
            </w:hyperlink>
            <w:hyperlink w:anchor="tP1B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P2AP">
              <w:r>
                <w:rPr>
                  <w:rStyle w:val="InternetLink"/>
                  <w:spacing w:val="4"/>
                </w:rPr>
                <w:t xml:space="preserve">Proposal 2 – The Adjournment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P2AP">
              <w:r>
                <w:rPr>
                  <w:rStyle w:val="InternetLink"/>
                  <w:spacing w:val="4"/>
                </w:rPr>
                <w:t>9</w:t>
              </w:r>
            </w:hyperlink>
            <w:hyperlink w:anchor="tP2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BOOS">
              <w:r>
                <w:rPr>
                  <w:rStyle w:val="InternetLink"/>
                  <w:spacing w:val="4"/>
                </w:rPr>
                <w:t xml:space="preserve">Beneficial Ownership of Securities By Certain Beneficial Owners and Management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BOOS">
              <w:r>
                <w:rPr>
                  <w:rStyle w:val="InternetLink"/>
                  <w:spacing w:val="4"/>
                </w:rPr>
                <w:t>10</w:t>
              </w:r>
            </w:hyperlink>
            <w:hyperlink w:anchor="tB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SHPR">
              <w:r>
                <w:rPr>
                  <w:rStyle w:val="InternetLink"/>
                  <w:spacing w:val="4"/>
                </w:rPr>
                <w:t xml:space="preserve">Shareholder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SHPR">
              <w:r>
                <w:rPr>
                  <w:rStyle w:val="InternetLink"/>
                  <w:spacing w:val="4"/>
                </w:rPr>
                <w:t>12</w:t>
              </w:r>
            </w:hyperlink>
            <w:hyperlink w:anchor="tSH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5" w:type="dxa"/>
            <w:tcBorders/>
            <w:shd w:fill="CCEEFF" w:val="cle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3" w:type="dxa"/>
            <w:tcBorders/>
            <w:shd w:fill="CCEEFF" w:val="clear"/>
            <w:vAlign w:val="center"/>
          </w:tcPr>
          <w:p>
            <w:pPr>
              <w:pStyle w:val="TableContents"/>
              <w:bidi w:val="0"/>
              <w:spacing w:before="0" w:after="283"/>
              <w:jc w:val="right"/>
              <w:rPr/>
            </w:pPr>
            <w:hyperlink w:anchor="tHOPM">
              <w:r>
                <w:rPr>
                  <w:rStyle w:val="InternetLink"/>
                  <w:spacing w:val="4"/>
                </w:rPr>
                <w:t>12</w:t>
              </w:r>
            </w:hyperlink>
            <w:hyperlink w:anchor="tHOP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5" w:type="dxa"/>
            <w:tcBorders/>
            <w:vAlign w:val="center"/>
          </w:tcPr>
          <w:p>
            <w:pPr>
              <w:pStyle w:val="TableContents"/>
              <w:bidi w:val="0"/>
              <w:spacing w:before="0" w:after="0"/>
              <w:jc w:val="left"/>
              <w:rPr/>
            </w:pPr>
            <w:hyperlink w:anchor="tOTBU">
              <w:r>
                <w:rPr>
                  <w:rStyle w:val="InternetLink"/>
                  <w:spacing w:val="4"/>
                </w:rPr>
                <w:t xml:space="preserve">Other Business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3" w:type="dxa"/>
            <w:tcBorders/>
            <w:vAlign w:val="center"/>
          </w:tcPr>
          <w:p>
            <w:pPr>
              <w:pStyle w:val="TableContents"/>
              <w:bidi w:val="0"/>
              <w:spacing w:before="0" w:after="283"/>
              <w:jc w:val="right"/>
              <w:rPr/>
            </w:pPr>
            <w:hyperlink w:anchor="tOTBU">
              <w:r>
                <w:rPr>
                  <w:rStyle w:val="InternetLink"/>
                  <w:spacing w:val="4"/>
                </w:rPr>
                <w:t>13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S"/>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THE SPECIAL GENERAL MEETING OF SHAREHOLDERS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THURSDAY, NOVEMBER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highlights information contained elsewhere in this proxy statement. It does not contain all of the information you should consider, and you should read the entire proxy statement carefully before voting. References in this proxy statement to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 Ltd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val="false"/>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refer to Quoin Pharmaceuticals Ltd., an Israeli company. The Notice of Special Meeting of Shareholders, proxy statement and a proxy card or voting instruction form, as applicable, are being distributed and made available to the holders of our ordinary shares, no par value per share (the “</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as well as holders of our Ordinary Shares that are represented by American Depositary Shares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collectively referred to as “</w:t>
      </w:r>
      <w:r>
        <w:rPr>
          <w:rFonts w:ascii="Times New Roman;Times;serif" w:hAnsi="Times New Roman;Times;serif"/>
          <w:b/>
          <w:i w:val="false"/>
          <w:caps w:val="false"/>
          <w:smallCaps w:val="false"/>
          <w:color w:val="000000"/>
          <w:spacing w:val="-4"/>
          <w:sz w:val="20"/>
        </w:rPr>
        <w:t>shareholders</w:t>
      </w:r>
      <w:r>
        <w:rPr>
          <w:rFonts w:ascii="Times New Roman;Times;serif" w:hAnsi="Times New Roman;Times;serif"/>
          <w:b w:val="false"/>
          <w:i w:val="false"/>
          <w:caps w:val="false"/>
          <w:smallCaps w:val="false"/>
          <w:color w:val="000000"/>
          <w:spacing w:val="4"/>
          <w:sz w:val="20"/>
        </w:rPr>
        <w:t xml:space="preserve">,” starting on or about [•], 2026. Our principal executive offices are located at 42127 Pleasant Forest Court, Ashburn, Virginia 20148.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Meeting Information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238"/>
        <w:gridCol w:w="109"/>
        <w:gridCol w:w="109"/>
        <w:gridCol w:w="7077"/>
        <w:gridCol w:w="155"/>
      </w:tblGrid>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Date and 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spacing w:val="4"/>
              </w:rPr>
            </w:pPr>
            <w:r>
              <w:rPr>
                <w:spacing w:val="4"/>
              </w:rPr>
              <w:t xml:space="preserve">Thursday, November 12, 2026, beginning at 12:00 p.m., US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Meeting Place: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spacing w:val="4"/>
              </w:rPr>
            </w:pPr>
            <w:r>
              <w:rPr>
                <w:spacing w:val="4"/>
              </w:rPr>
              <w:t xml:space="preserve">Offices of Blank Rome LLP located at One Logan Square, Philadelphia, Pennsylvania 19103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spacing w:val="4"/>
              </w:rPr>
            </w:pPr>
            <w:r>
              <w:rPr>
                <w:spacing w:val="4"/>
              </w:rPr>
              <w:t xml:space="preserve">September 23,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38" w:type="dxa"/>
            <w:tcBorders/>
            <w:vAlign w:val="center"/>
          </w:tcPr>
          <w:p>
            <w:pPr>
              <w:pStyle w:val="TableContents"/>
              <w:bidi w:val="0"/>
              <w:spacing w:before="0" w:after="0"/>
              <w:jc w:val="left"/>
              <w:rPr>
                <w:b/>
              </w:rPr>
            </w:pPr>
            <w:r>
              <w:rPr>
                <w:b/>
                <w:spacing w:val="-4"/>
              </w:rPr>
              <w:t>Voting: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77" w:type="dxa"/>
            <w:tcBorders/>
            <w:vAlign w:val="center"/>
          </w:tcPr>
          <w:p>
            <w:pPr>
              <w:pStyle w:val="TableContents"/>
              <w:bidi w:val="0"/>
              <w:spacing w:before="0" w:after="283"/>
              <w:jc w:val="left"/>
              <w:rPr/>
            </w:pPr>
            <w:r>
              <w:rPr>
                <w:spacing w:val="4"/>
              </w:rPr>
              <w:t>Each ordinary share is entitled to one vote per share on all matters presented at the Special Meeting. Each ADS represents thirty-five of our ordinary shares.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Special Meeting. Shareholders should vote by marking, signing and dating the accompanying proxy card, and returning it promptly. If your ADSs are held in an account at a bank, broker or 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Matters and the Board’s Recommendation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5442"/>
        <w:gridCol w:w="109"/>
        <w:gridCol w:w="109"/>
        <w:gridCol w:w="1734"/>
        <w:gridCol w:w="109"/>
        <w:gridCol w:w="109"/>
        <w:gridCol w:w="1044"/>
        <w:gridCol w:w="156"/>
      </w:tblGrid>
      <w:tr>
        <w:trPr/>
        <w:tc>
          <w:tcPr>
            <w:tcW w:w="5442" w:type="dxa"/>
            <w:tcBorders>
              <w:bottom w:val="single" w:sz="2" w:space="0" w:color="000000"/>
            </w:tcBorders>
            <w:vAlign w:val="center"/>
          </w:tcPr>
          <w:p>
            <w:pPr>
              <w:pStyle w:val="TableContents"/>
              <w:bidi w:val="0"/>
              <w:spacing w:before="0" w:after="0"/>
              <w:jc w:val="left"/>
              <w:rPr>
                <w:spacing w:val="-3"/>
              </w:rPr>
            </w:pPr>
            <w:r>
              <w:rPr>
                <w:spacing w:val="-3"/>
              </w:rPr>
              <w:t xml:space="preserve">Agenda Item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34" w:type="dxa"/>
            <w:tcBorders>
              <w:bottom w:val="single" w:sz="2" w:space="0" w:color="000000"/>
            </w:tcBorders>
            <w:vAlign w:val="center"/>
          </w:tcPr>
          <w:p>
            <w:pPr>
              <w:pStyle w:val="TableContents"/>
              <w:bidi w:val="0"/>
              <w:spacing w:before="0" w:after="0"/>
              <w:jc w:val="center"/>
              <w:rPr/>
            </w:pPr>
            <w:r>
              <w:rPr>
                <w:spacing w:val="-3"/>
              </w:rPr>
              <w:t>Board Vote</w:t>
            </w:r>
            <w:r>
              <w:rPr/>
              <w:t xml:space="preserve"> </w:t>
              <w:br/>
            </w:r>
            <w:r>
              <w:rPr>
                <w:spacing w:val="-3"/>
              </w:rPr>
              <w:t xml:space="preserve">Recommendation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4" w:type="dxa"/>
            <w:tcBorders>
              <w:bottom w:val="single" w:sz="2" w:space="0" w:color="000000"/>
            </w:tcBorders>
            <w:vAlign w:val="center"/>
          </w:tcPr>
          <w:p>
            <w:pPr>
              <w:pStyle w:val="TableContents"/>
              <w:bidi w:val="0"/>
              <w:spacing w:before="0" w:after="0"/>
              <w:jc w:val="center"/>
              <w:rPr/>
            </w:pPr>
            <w:r>
              <w:rPr>
                <w:spacing w:val="-3"/>
              </w:rPr>
              <w:t>Page</w:t>
            </w:r>
            <w:r>
              <w:rPr/>
              <w:t xml:space="preserve"> </w:t>
              <w:br/>
            </w:r>
            <w:r>
              <w:rPr>
                <w:spacing w:val="-3"/>
              </w:rPr>
              <w:t xml:space="preserve">Reference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442" w:type="dxa"/>
            <w:tcBorders/>
            <w:shd w:fill="CCEEFF" w:val="clear"/>
            <w:tcMar>
              <w:bottom w:w="0" w:type="dxa"/>
            </w:tcMar>
            <w:vAlign w:val="center"/>
          </w:tcPr>
          <w:p>
            <w:pPr>
              <w:pStyle w:val="TableContents"/>
              <w:bidi w:val="0"/>
              <w:spacing w:before="0" w:after="283"/>
              <w:jc w:val="left"/>
              <w:rPr>
                <w:spacing w:val="4"/>
              </w:rPr>
            </w:pPr>
            <w:r>
              <w:rPr>
                <w:spacing w:val="4"/>
              </w:rPr>
              <w:t xml:space="preserve">Proposal 1:   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4" w:type="dxa"/>
            <w:tcBorders/>
            <w:shd w:fill="CCEEFF" w:val="clear"/>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44" w:type="dxa"/>
            <w:tcBorders/>
            <w:shd w:fill="CCEEFF" w:val="clear"/>
            <w:tcMar>
              <w:bottom w:w="0" w:type="dxa"/>
            </w:tcMar>
            <w:vAlign w:val="center"/>
          </w:tcPr>
          <w:p>
            <w:pPr>
              <w:pStyle w:val="TableContents"/>
              <w:bidi w:val="0"/>
              <w:spacing w:before="0" w:after="0"/>
              <w:jc w:val="center"/>
              <w:rPr/>
            </w:pPr>
            <w:hyperlink w:anchor="tP1BO">
              <w:r>
                <w:rPr>
                  <w:rStyle w:val="InternetLink"/>
                  <w:spacing w:val="4"/>
                </w:rPr>
                <w:t>6</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442" w:type="dxa"/>
            <w:tcBorders/>
            <w:tcMar>
              <w:bottom w:w="0" w:type="dxa"/>
            </w:tcMar>
            <w:vAlign w:val="center"/>
          </w:tcPr>
          <w:p>
            <w:pPr>
              <w:pStyle w:val="TableContents"/>
              <w:bidi w:val="0"/>
              <w:spacing w:before="0" w:after="283"/>
              <w:jc w:val="left"/>
              <w:rPr>
                <w:spacing w:val="4"/>
              </w:rPr>
            </w:pPr>
            <w:r>
              <w:rPr>
                <w:spacing w:val="4"/>
              </w:rPr>
              <w:t xml:space="preserve">Proposal 2:   To approve an adjournment of the Special Meeting to a later date, if necessary or appropriate, to permit further solicitation and vote of proxies in the event that there are insufficient votes for, or otherwise in connection with, the approval of Proposal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4"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4" w:type="dxa"/>
            <w:tcBorders/>
            <w:tcMar>
              <w:bottom w:w="0" w:type="dxa"/>
            </w:tcMar>
            <w:vAlign w:val="center"/>
          </w:tcPr>
          <w:p>
            <w:pPr>
              <w:pStyle w:val="TableContents"/>
              <w:bidi w:val="0"/>
              <w:spacing w:before="0" w:after="0"/>
              <w:jc w:val="center"/>
              <w:rPr/>
            </w:pPr>
            <w:hyperlink w:anchor="tP2AP">
              <w:r>
                <w:rPr>
                  <w:rStyle w:val="InternetLink"/>
                  <w:spacing w:val="4"/>
                </w:rPr>
                <w:t>9</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THESE PROXY MATERIALS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 of Special Meeting of Shareholders, proxy statement and a proxy card or voting instruction form, as applicable, are being distributed and made available to our shareholders starting on or about [•], 2026. We are providing these proxy materials in connection with the solicitation by the Company’s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proxies to be voted at a special general meeting of shareholders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xml:space="preserve">”), or any adjournment or postponement of the Special Meeting. This proxy statement provides you with information on the proposals to be voted on at the Special Meeting, as well as other information about us, so that you can make an informed decision as to whether and how to vote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Special Meeting will be held on Thursday, November 12, 2026, beginning at 12:00 p.m., US Eastern Time, at the offices of Blank Rome LLP located at One Logan Square, Philadelphia, Pennsylvania 19103. Attendance at the Special Meeting is limited to shareholders of Quoin as of September 23, 2026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attend the Special Meeting, you will be asked to present valid, government-issued photo identification, such as a driver’s license. If you hold your shares in “street name” through a bank, broker or other nominee, you will need proof of ownership to be admitted to the Special Meeting. A recent brokerage statement or a letter from your bank, broker or other nominee are examples of proof of ownership.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the Company’s ordinary shares at the close of business on the Record Date are entitled to vote at the Special Meeting. If you held ADSs (whether the ADSs are registered directly in your name or are held in “street name”) at the close of business on the Record Date, you are entitled to receive notice of the Special Meeting but may not actually vote your shares in person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[168,145,635] ordinary shares issued and outstanding and entitled to vote at the Special Meeting, represented by [4,804,161] ADSs. Each ordinary share is entitled to one vote per share on all matters presented at the Special Meeting. Each ADS represents thirty-five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proposals will be voted on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shareholders will consider and vote 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 (the “Beneficial Ownership Limitation Amendment Proposal”). </w:t>
      </w:r>
      <w:r>
        <mc:AlternateContent>
          <mc:Choice Requires="wps">
            <w:drawing>
              <wp:anchor behindDoc="0" distT="9906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adjournment of the Special Meeting to a later date, if necessary or appropriate, to permit further solicitation and vote of proxies in the event that there are insufficient votes for, or otherwise in connection with, the approval of Proposal 1 (the “Adjournment Proposal”). </w:t>
      </w:r>
      <w:r>
        <mc:AlternateContent>
          <mc:Choice Requires="wps">
            <w:drawing>
              <wp:anchor behindDoc="0" distT="10033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another matter is properly brought before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our Board knows of no other matters that will be presented for consideration at the Special Meeting. If any other matters are properly brought before the Special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intended that the person named as proxy, Sally Lawlor, our Chief Financial Officer, will vote, pursuant to her discretionary authority, according to her best judgment and discretion.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can (i) vote at the Special Meeting, or (ii) submit your vote by completing, signing and submitting a proxy card. Please follow the instructions on the proxy card. All shares represented by properly executed proxy cards will be voted as specified in the instructions indicated in such proxy. If you sign and return a proxy card, but do not specify how you want your shares voted on a specific proposal, the shares represented by a properly executed and received proxy card will be deemed to have abstained with respect to such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will receive a proxy card from The Bank of New York Mellon (which acts as the Depositary for the ADSs). Please follow the instructions on the proxy card and return it in the manner specified on the proxy card so that it will be received no later than the date and time indicated thereon.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that is, you are an underlying beneficial holder who holds ADSs through a bank, broker or other nominee, such intermediary will provide you with instructions on how you may give voting instructions with respect to the ordinary shares represented by your ADSs. Please check with your broker, bank or other nominee, as applicable, and carefully follow the voting procedures provided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submitting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may revoke a proxy at any time before the deadline for receipt of proxies by (i) sending a written notice of revocation, or a duly executed proxy bearing a later date, to Quoin at its offices at 42127 Pleasant Forest Court, Ashburn, Virginia 20148, Attention: Corporate Secretary; or (ii) attending and voting in person at the Special Meeting. Attendance at the Special Meeting will not in and of itself constitute a revocation of your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may revoke your proxy at any time before the deadline for receipt of proxies by sending a written notice of revocation, or a duly executed proxy bearing a later date to adrproxy@betanxt.com. The last proxy you submit prior to the deadline indicated by the Depositary will be used to instruct the Depositary how to vote the ordinary shares represented by your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you must follow the instructions provided by your broker, bank or other nominee in order to change your vote. The last instructions you submit prior to the deadline indicated by your broker, bank or other nominee, will be used to instruct the Depositary how to vote the ordinary shares represented by your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and do not vote in person or by proxy, your ordinary shares will not be voted.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and do not instruct the Depositary how to vote, the ordinary shares represented by your ADSs will not be voted. Under the terms of our Deposit Agreement with The Bank of New York Mellon, as Depositary, and the holders of the ADSs, the Depositary shall endeavor (to the extent practicable and in accordance with applicable law and the Articles of Association of the Company) to vote or cause to be voted the number of ordinary shares represented by ADSs in accordance with the instructions provided by the holders of ADSs to the Depositary. If no proxy is received by the Depositary from a holder of ADSs on or before the date established by the Depositary for such purpose, the Depositary will not exercise any discretion in voting the ordinary shares represented by such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and do not instruct your broker, bank, or other agent how to vote the ordinary shares represented by your ADSs, the question of whether your broker or nominee will still be able to vote the ordinary shares represented by your ADSs depends on whether the New York Stock Exchange (the “</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deems the particular proposal to be a “routine” matter.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ADSs are not listed with the NYSE, the NYSE regulates broker-dealers and their discretion to vote on shareholder proposals. Under the NYSE rules applicable to brokers and other similar organizations that are subject to NYSE rules, such organizations may use their discretion to vote “uninstructed securities” with respect to matters considered to be “routine” under NYSE rules, but not with respect to “non-routine” matters. Under such rules and interpretations, non-routine matters are matters that may substantially affect the rights or privileges of shareholders, such as mergers, shareholder proposals, elections of directors (even if not contested), executive compensation (including any advisory shareholder votes on executive compensation and on the frequency of shareholder votes on executive compensation), and certain corporate governance proposals, even if management-supported.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there is at least one “routine” matter to be considered at a meeting, a “broker non-vote” occurs when a separate matter is deemed “non-routine” and the broker, bank or other nominee holding ADSs for a beneficial owner does not have discretionary voting authority with respect to the “non-routine” matter being considered and has not received instructions from the beneficial owner. The unvoted ordinary shares represented by such ADSs on “non-routine” matters are counted as broker non-votes. Because there are no routine matters on which brokers, banks or other nominees can vote without instruction at the Special Meeting, no broker non-votes are expected at the Special Meeting. If you hold your ADSs in street name and you do not instruct your broker how to vote in these matters not considered routine, no votes will be cast on your behalf.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voting requirements for each proposal discussed in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each of the proposals requires the affirmative vote of the holders of a majority of the shares that are voted in person or by proxy on such proposal at the Special Meeting, with abstentions not taken into account for voting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Abstentions and broker non-votes will not be treated as either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any proposal at the Special Meeting and therefore will not impact whether the requisite majority has been achieved for any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quorum requirement for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Special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Special Meeting, the Special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are counted as present for purposes of determining whether a quorum is present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out the Special Meeting voting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Preliminary voting results will be announced at the Special Meeting. In addition, final voting results will be published in a current report on Form 8-K that we expect to file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within four business days after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paying for this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costs of solicitation of proxies for the Special Meeting, including the preparation, assembly, printing, mailing and distribution of the proxy materials. In addition to solicitation by mail, our directors, officers and employees may solicit proxies from shareholders by telephone, personal interview or otherwise. Such directors, officers and employees will not receive additional compensation, but may be reimbursed for reasonable out-of-pocket expenses in connection with such solicitation. Banks, brokers or other nominees have been requested to forward soliciting material to the beneficial owners of shares held of record by them, and such custodians will be reimbursed by us for their reasonable out-of-pocket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engaged Kingsdale Advisors to assist in soliciting proxies on our behalf. Kingsdale Advisors may solicit proxies personally, electronically or by telephone. We have agreed to pay Kingsdale Advisors a fee of $16,500 plus reimburse them for certain out-of-pocket disbursements and expenses. What proxy materials are available online?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Copies of the Notice of Special Meeting of Shareholders and this proxy statement are available at </w:t>
      </w:r>
      <w:r>
        <w:rPr>
          <w:rFonts w:ascii="Times New Roman;Times;serif" w:hAnsi="Times New Roman;Times;serif"/>
          <w:b w:val="false"/>
          <w:i/>
          <w:caps w:val="false"/>
          <w:smallCaps w:val="false"/>
          <w:color w:val="000000"/>
          <w:spacing w:val="4"/>
          <w:sz w:val="20"/>
        </w:rPr>
        <w:t>https://investors.quoinpharma.com/proxy-statement</w:t>
      </w:r>
      <w:r>
        <w:rPr>
          <w:rFonts w:ascii="Times New Roman;Times;serif" w:hAnsi="Times New Roman;Times;serif"/>
          <w:b w:val="false"/>
          <w:i w:val="false"/>
          <w:caps w:val="false"/>
          <w:smallCaps w:val="false"/>
          <w:color w:val="000000"/>
          <w:spacing w:val="4"/>
          <w:sz w:val="20"/>
        </w:rPr>
        <w:t xml:space="preserve">. Information contained on or accessible through this website is not incorporated by reference in, or otherwise a part of, this proxy statement, and any references to this website are intended to be inactive textual references only.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may I contact if I have other questions about the Special Meeting or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shares, please contact our proxy solicitor, Kingsdale Advisors: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838325" cy="3810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838325" cy="381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Strategic Stockholder Advisor and Proxy Solicitation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745 Fifth Avenue, 5th Floor, New York, NY 10151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North American Toll-Free Phone Number: +1-800-266-8319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contactus@kingsdaleadvisors.com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Call Collect or Text Outside North America: +1-917-813-1256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1B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1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THE BENEFICIAL OWNERSHIP LIMITATION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shareholders to approve a proposal to amend the beneficial ownership limitations imposed on each investor in the transaction documents entered into in connection with the Company’s private placement transactions consummated on October 14, 2025 and August 31, 2026, as applicable, to permit each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Israeli Companies Law, 5759-1999 (the “Companies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October 2025 Private Placement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10, 2025, we entered into a securities purchase agreement (the “October 2025 Purchase Agreement”), with several institutional and accredited investors (the “2025 Purchasers”) for the issuance and sale in a private placement transaction (the “October 2025 Private Placement”) of the following securities: (i) Ordinary Shares represented by 15,152 ADSs and (ii) pre-funded warrants to purchase Ordinary Shares represented by 1,993,939ADSs (the “October 2025 Pre-Funded Warrants”), together with (A) Series H Warrants to purchase Ordinary Shares represented by up to 2,009,091ADSs (“Series H Warrants”), (B) Series I Warrants to purchase Ordinary Shares represented by up to 2,009,091ADSs (“Series I Warrants”), (C) Series J Warrants to purchase Ordinary Shares represented by up to 2,009,091 ADSs (“Series J Warrants”), and (D) Series K Warrants to purchase Ordinary Shares represented by up to 2,009,091ADSs (“Series K Warrants” and, together with the Series H Warrants, Series I Warrants, and Series J Warrants, the “October 2025 Ordinary Warrants”). The October 2025 Private Placement closed on October 14,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October 2025 Pre-Funded Warrants and the October 2025 Ordinary Warrants provide that a holder thereof may not exercise any portion of such October 2025 Pre-Funded Warrants or October 2025 Ordinary Warrants for ADSs to the extent that the holder, together with its affiliates, would beneficially own more than 4.99% of the number of Ordinary Shares outstanding immediately after giving effect to the issuance of the Ordinary Shares represented by the ADSs issuable upon exercise of the applicable warrant (the “October 2025 Beneficial Ownership Limitation”), nor may the holder, together with its affiliates, hold more than 4.99% of our voting power (the “October 2025 Voting Limitation”).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August 2026 Private Placement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27, 2026, we entered into a securities purchase agreement, dated August 27, 2026 (the “2026 Purchase Agreement”), with several institutional and accredited investors (the “2026 Purchasers”) for the issuance and sale in a private placement transaction (the “August 2026 Private Placement” and together with the October 2025 Private Placement, the “Private Placement Transactions”) of the following securities: (i) Ordinary Shares represented by 2,503,170 ADSs, (ii) pre-funded warrants to purchase Ordinary Shares represented by 3,802,130 ADSs (the “August 2026 Pre-Funded Warrants”), together with (iii) ordinary warrants to purchase Ordinary Shares represented by up to 3,152,650 ADSs (the “August 2026 Ordinary Warrants” and, together with the October 2025 Pre-Funded Warrants, the October 2025 Ordinary Warrants, and the August 2026 Pre-Funded Warrants, the “Private Placement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August 2026 Pre-Funded Warrants and the August 2026 Ordinary Warrants provide that a holder of such warrants may not exercise any portion of such holder’s warrants for ADSs to the extent that the holder, together with its affiliates, would beneficially own more than 4.99% of the number of Ordinary Shares outstanding immediately after giving effect to the issuance of the Ordinary Shares represented by the ADSs issuable upon exercise of the applicable warrant (the “August 2026 Beneficial Ownership Limitation”). In addition, a holder of August 2026 Pre-Funded Warrants or August 2026 Ordinary Warrants may not exercise any portion of such holder’s warrants for ADSs to the extent that the holder, together with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would hold more than 4.99% of our voting power (the “August 2026 Voting Limitation” and, together with the October 2025 Beneficial Ownership Limitation, the October 2025 Voting Limitation, and the August 2026 Beneficial Ownership Limitation, the “Ownership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Beneficial Ownership Limitation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2026 Purchase Agreement, we agreed to seek the approval of our shareholders to amend the beneficial ownership limitations imposed on each investor in the transaction documents entered into in connection with the Company’s private placement transactions consummated on October 14, 2025 and August 31, 2026, as applicable, to permit each such investor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both for purposes of Section 13(d) of the Exchange Act and for purposes of Section 270(5) and Section 274 of the Companies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shareholders approve this proposal, then a holder of any Private Placement Warrant may, from time to time, upon written notice to us, increase or decrease the Ownership Limitations applicable to any portion of such holder’s Private Placement Warrants to any percentage not exceeding 9.99% specified in such notice; provided that any increase in Ownership Limitation will not be effective until the 61st day after such notice is delivered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270(5) and Section 274 of the Companies Law, shareholder approval is required for “material private placements” when, among other things, 20% or more of the voting rights of a public company (on a pre-issuance basis) are issued in a transaction that is either not on “market terms” or not paid for in cash, and the holdings of an existing 5% shareholder increases or a new 5% shareholder is created as a result of the transaction. For purposes of Section 270(5) of the Companies Law, convertible securities like Private Placement Warrants are calculated on an as-exercised basis. The Private Placement Warrants include Ownership Limitations that cap each holder’s beneficial ownership and voting rights at 4.99%, which prevents the creation of new 5% shareholders upon warrant exercise.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obtaining shareholder approval to increase the threshold to 9.99%, holders of Private Placement Warrants may, upon written notice to us, elect to increase their applicable Ownership Limitations to any percentage not exceeding 9.99%, and the Company will have received the shareholder approval contemplated by Section 270(5) and Section 274 of the Companies Law for any resulting increase in ownership above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Consequences if the Beneficial Ownership Limitation Amendment Proposal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shareholders do not approve the Beneficial Ownership Limitation Amendment Proposal, the Ownership Limitations applicable to the Private Placement Warrants will remain at 4.99%, and holders of Private Placement Warrants will not be permitted to increase such limitations to any percentage above 4.99%. As a result, holders who reach the 4.99% threshold may need to sell shares before exercising additional Private Placement Warrants, which could slow the pace of warrant exercises. This may delay the Company’s receipt of proceeds from warrant exercises. Additionally, failure to approve this proposal may be viewed negatively by holders of the Private Placement Warrants and could adversely affect our ability to raise capital on favorable terms in future financing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Adverse Effects of the Approval of the Beneficial Ownership Limitation 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ADS that would be issuable upon the exercise of the Private Placement Warrants would have the same rights and privileges as each of our currently outstanding ADS. The issuance of ADSs to the holders of Private Placement Warrants upon any exercise thereof will not affect the rights of the holders of our outstanding ADSs, but such issuances will have a dilutive effect on our existing shareholders, including the voting power and economic rights of existing shareholders. Further, any sales in the public market of our ADSs issuable upon exercise of the Private Placement Warrants could adversely affect prevailing market prices of our ADSs. In addition, it is possible for a group of investors to gain significant voting control of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appraisal rights are available under the Companies Law or our Articles of Association with respect to the Beneficial Ownership Limitation Amendment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executive officers have no substantial interest, directly or indirectly, in the matters set forth in this proposal except to the extent of their participation in the Private Placement Transactions as set forth below: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Dennis Langer, a member of our Board of Directors, participated in the October 2025 Private Placement, purchasing 15,152 ADSs and accompanying October 2025 Ordinary Warrants to purchase Ordinary Shares represented by up to 60,608 ADSs;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Michael Myers, our Chief Executive Officer and a member of our Board of Directors, Denise Carter, our Chief Operating Officer and a member of our Board of Directors; Sally Lawlor, our Chief Financial Officer and James Culverwell, a member of our Board of Directors, participated in the August 2026 Private Placement, purchasing an aggregate of 57,370 ADSs and accompanying August 2026 Ordinary Warrants to purchase Ordinary Shares represented by up to 28,685 ADSs.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Proposed Resolution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Special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the beneficial ownership limitations imposed on each investor in the transaction documents entered into in connection with the October 2025 Private Placement and the August 2026 Private Placement, as applicable, are hereby amended to permit each investor, upon written notice to the Company, to increase the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SHAREHOLDERS VOTE “FOR” THE APPROVAL OF THE BENEFICIAL OWNERSHIP LIMITATION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2A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receive a sufficient number of votes to approve the Beneficial Ownership Limitation Amendment Proposal we may propose to adjourn the Special Meeting, if the Board of Directors determines it to be necessary or appropriate for the purpose of soliciting additional proxies to approve the Beneficial Ownership Limitation Amendment Proposal. We currently do not intend to propose adjournment of the Special Meeting, if there are sufficient votes in favor of the Beneficial Ownership Limitation Amendment Proposal. If our shareholders approve this proposal, the Board of Directors could adjourn the Special Meeting and any adjourned session of the Special Meeting and use the additional time to solicit additional proxies, including the solicitation of proxies from our shareholders that have previously voted. Among other things, approval of this proposal could mean that, even if we had received proxies representing a sufficient number of votes to defeat the Beneficial Ownership Limitation Amendment Proposal, we could adjourn the Special Meeting without a vote on such proposal and seek to convince our shareholders to change their votes in favor of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if the Adjournment Proposal is Not Approved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Adjournment Proposal is not approved, the Board may not be able to adjourn the Special Meeting to a later date in the event that, based on the tabulated votes, there are not sufficient votes at the time of the Special Meeting to approve the Beneficial Ownership Limitation Amendment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Proposed Resolution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Special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the Special Meeting be adjourned to a later date, if necessary or appropriate, to permit further solicitation and vote of proxies in the event that there are insufficient votes for, or otherwise in connection with, the approval of Proposal 1.”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BOARD RECOMMENDS THAT SHAREHOLDERS VOTE “FOR”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APPROVAL OF THE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O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OWNERSHIP OF SECURITIES BY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ownership of our ordinary shares (including ordinary shares represented by ADSs) as of the Record Date by: (i) each director and nominee for director; (ii) each named executive officer; (iii) all our executive officers and directors as a group; and (iv) all those known by us to be beneficial owners of more than five percent of our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generally means sole or shared power to vote or direct the voting or to dispose or direct the disposition of any ordinary shares. Unless otherwise indicated in the footnotes to this table, we believe that each of the persons named in this table has sole voting and investment power with respect to the shares indicated as being beneficially owned.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indicated by footnote, the beneficial ownership information is based upon 4,804,161 ADSs outstanding as of the Record Date. Ordinary shares that may be acquired by a person within 60 days of the Record Date, pursuant to the exercise of options or warrants are deemed to be outstanding for purposes of computing the percentage ownership of such person, but are not deemed to be outstanding for purposes of computing the percentage ownership of ordinary shares of any other person shown in the table. Each ADS represents thirty-five (35)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indicated otherwise below, the address of our directors and executive officers is c/o Quoin Pharmaceuticals Ltd., 42127 Pleasant Forest Court, Ashburn, Virginia 20148-7349. </w:t>
      </w:r>
    </w:p>
    <w:tbl>
      <w:tblPr>
        <w:tblW w:w="8812" w:type="dxa"/>
        <w:jc w:val="left"/>
        <w:tblInd w:w="1393" w:type="dxa"/>
        <w:tblLayout w:type="fixed"/>
        <w:tblCellMar>
          <w:top w:w="0" w:type="dxa"/>
          <w:left w:w="0" w:type="dxa"/>
          <w:bottom w:w="43" w:type="dxa"/>
          <w:right w:w="0" w:type="dxa"/>
        </w:tblCellMar>
      </w:tblPr>
      <w:tblGrid>
        <w:gridCol w:w="4965"/>
        <w:gridCol w:w="109"/>
        <w:gridCol w:w="109"/>
        <w:gridCol w:w="179"/>
        <w:gridCol w:w="179"/>
        <w:gridCol w:w="1554"/>
        <w:gridCol w:w="179"/>
        <w:gridCol w:w="109"/>
        <w:gridCol w:w="109"/>
        <w:gridCol w:w="144"/>
        <w:gridCol w:w="144"/>
        <w:gridCol w:w="727"/>
        <w:gridCol w:w="146"/>
        <w:gridCol w:w="159"/>
      </w:tblGrid>
      <w:tr>
        <w:trPr/>
        <w:tc>
          <w:tcPr>
            <w:tcW w:w="4965"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91" w:type="dxa"/>
            <w:gridSpan w:val="4"/>
            <w:tcBorders>
              <w:bottom w:val="single" w:sz="2" w:space="0" w:color="000000"/>
            </w:tcBorders>
            <w:vAlign w:val="center"/>
          </w:tcPr>
          <w:p>
            <w:pPr>
              <w:pStyle w:val="TableContents"/>
              <w:bidi w:val="0"/>
              <w:spacing w:before="0" w:after="0"/>
              <w:jc w:val="center"/>
              <w:rPr/>
            </w:pPr>
            <w:r>
              <w:rPr>
                <w:spacing w:val="-3"/>
              </w:rPr>
              <w:t>Amount and Nature of</w:t>
            </w:r>
            <w:r>
              <w:rPr/>
              <w:t xml:space="preserve"> </w:t>
              <w:br/>
            </w:r>
            <w:r>
              <w:rPr>
                <w:spacing w:val="-3"/>
              </w:rPr>
              <w:t xml:space="preserve">Beneficial Ownership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1"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 xml:space="preserve">of Class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65"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554"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965" w:type="dxa"/>
            <w:tcBorders/>
            <w:tcMar>
              <w:bottom w:w="0" w:type="dxa"/>
            </w:tcMar>
            <w:vAlign w:val="center"/>
          </w:tcPr>
          <w:p>
            <w:pPr>
              <w:pStyle w:val="TableContents"/>
              <w:bidi w:val="0"/>
              <w:spacing w:before="0" w:after="0"/>
              <w:jc w:val="left"/>
              <w:rPr/>
            </w:pPr>
            <w:r>
              <w:rPr>
                <w:spacing w:val="4"/>
              </w:rPr>
              <w:t>Dr. Michael Myers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554" w:type="dxa"/>
            <w:tcBorders/>
            <w:tcMar>
              <w:bottom w:w="0" w:type="dxa"/>
            </w:tcMar>
            <w:vAlign w:val="center"/>
          </w:tcPr>
          <w:p>
            <w:pPr>
              <w:pStyle w:val="TableContents"/>
              <w:bidi w:val="0"/>
              <w:spacing w:before="0" w:after="283"/>
              <w:jc w:val="right"/>
              <w:rPr/>
            </w:pPr>
            <w:r>
              <w:rPr/>
              <w:t>92,933</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1.91%</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965" w:type="dxa"/>
            <w:tcBorders/>
            <w:shd w:fill="CCEEFF" w:val="clear"/>
            <w:tcMar>
              <w:bottom w:w="0" w:type="dxa"/>
            </w:tcMar>
            <w:vAlign w:val="center"/>
          </w:tcPr>
          <w:p>
            <w:pPr>
              <w:pStyle w:val="TableContents"/>
              <w:bidi w:val="0"/>
              <w:spacing w:before="0" w:after="0"/>
              <w:jc w:val="left"/>
              <w:rPr/>
            </w:pPr>
            <w:r>
              <w:rPr>
                <w:spacing w:val="4"/>
              </w:rPr>
              <w:t>Denise Carter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554" w:type="dxa"/>
            <w:tcBorders/>
            <w:shd w:fill="CCEEFF" w:val="clear"/>
            <w:tcMar>
              <w:bottom w:w="0" w:type="dxa"/>
            </w:tcMar>
            <w:vAlign w:val="center"/>
          </w:tcPr>
          <w:p>
            <w:pPr>
              <w:pStyle w:val="TableContents"/>
              <w:bidi w:val="0"/>
              <w:spacing w:before="0" w:after="283"/>
              <w:jc w:val="right"/>
              <w:rPr/>
            </w:pPr>
            <w:r>
              <w:rPr/>
              <w:t>92,929</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1.91%</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965" w:type="dxa"/>
            <w:tcBorders/>
            <w:tcMar>
              <w:bottom w:w="0" w:type="dxa"/>
            </w:tcMar>
            <w:vAlign w:val="center"/>
          </w:tcPr>
          <w:p>
            <w:pPr>
              <w:pStyle w:val="TableContents"/>
              <w:bidi w:val="0"/>
              <w:spacing w:before="0" w:after="0"/>
              <w:jc w:val="left"/>
              <w:rPr/>
            </w:pPr>
            <w:r>
              <w:rPr>
                <w:spacing w:val="4"/>
              </w:rPr>
              <w:t>Joseph Cooper</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554" w:type="dxa"/>
            <w:tcBorders/>
            <w:tcMar>
              <w:bottom w:w="0" w:type="dxa"/>
            </w:tcMar>
            <w:vAlign w:val="center"/>
          </w:tcPr>
          <w:p>
            <w:pPr>
              <w:pStyle w:val="TableContents"/>
              <w:bidi w:val="0"/>
              <w:spacing w:before="0" w:after="283"/>
              <w:jc w:val="right"/>
              <w:rPr/>
            </w:pPr>
            <w:r>
              <w:rPr/>
              <w:t>2,005</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965" w:type="dxa"/>
            <w:tcBorders/>
            <w:shd w:fill="CCEEFF" w:val="clear"/>
            <w:tcMar>
              <w:bottom w:w="0" w:type="dxa"/>
            </w:tcMar>
            <w:vAlign w:val="center"/>
          </w:tcPr>
          <w:p>
            <w:pPr>
              <w:pStyle w:val="TableContents"/>
              <w:bidi w:val="0"/>
              <w:spacing w:before="0" w:after="0"/>
              <w:jc w:val="left"/>
              <w:rPr/>
            </w:pPr>
            <w:r>
              <w:rPr>
                <w:spacing w:val="4"/>
              </w:rPr>
              <w:t>James Culverwell</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554" w:type="dxa"/>
            <w:tcBorders/>
            <w:shd w:fill="CCEEFF" w:val="clear"/>
            <w:tcMar>
              <w:bottom w:w="0" w:type="dxa"/>
            </w:tcMar>
            <w:vAlign w:val="center"/>
          </w:tcPr>
          <w:p>
            <w:pPr>
              <w:pStyle w:val="TableContents"/>
              <w:bidi w:val="0"/>
              <w:spacing w:before="0" w:after="283"/>
              <w:jc w:val="right"/>
              <w:rPr/>
            </w:pPr>
            <w:r>
              <w:rPr/>
              <w:t>53,892</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1.12%</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965" w:type="dxa"/>
            <w:tcBorders/>
            <w:tcMar>
              <w:bottom w:w="0" w:type="dxa"/>
            </w:tcMar>
            <w:vAlign w:val="center"/>
          </w:tcPr>
          <w:p>
            <w:pPr>
              <w:pStyle w:val="TableContents"/>
              <w:bidi w:val="0"/>
              <w:spacing w:before="0" w:after="0"/>
              <w:jc w:val="left"/>
              <w:rPr/>
            </w:pPr>
            <w:r>
              <w:rPr>
                <w:spacing w:val="4"/>
              </w:rPr>
              <w:t>Dr. Dennis Langer</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554" w:type="dxa"/>
            <w:tcBorders/>
            <w:tcMar>
              <w:bottom w:w="0" w:type="dxa"/>
            </w:tcMar>
            <w:vAlign w:val="center"/>
          </w:tcPr>
          <w:p>
            <w:pPr>
              <w:pStyle w:val="TableContents"/>
              <w:bidi w:val="0"/>
              <w:spacing w:before="0" w:after="283"/>
              <w:jc w:val="right"/>
              <w:rPr/>
            </w:pPr>
            <w:r>
              <w:rPr/>
              <w:t>115,037</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2.36%</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965" w:type="dxa"/>
            <w:tcBorders/>
            <w:shd w:fill="CCEEFF" w:val="clear"/>
            <w:tcMar>
              <w:bottom w:w="0" w:type="dxa"/>
            </w:tcMar>
            <w:vAlign w:val="center"/>
          </w:tcPr>
          <w:p>
            <w:pPr>
              <w:pStyle w:val="TableContents"/>
              <w:bidi w:val="0"/>
              <w:spacing w:before="0" w:after="0"/>
              <w:jc w:val="left"/>
              <w:rPr/>
            </w:pPr>
            <w:r>
              <w:rPr>
                <w:spacing w:val="4"/>
              </w:rPr>
              <w:t>Natalie Leong</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554" w:type="dxa"/>
            <w:tcBorders/>
            <w:shd w:fill="CCEEFF" w:val="clear"/>
            <w:tcMar>
              <w:bottom w:w="0" w:type="dxa"/>
            </w:tcMar>
            <w:vAlign w:val="center"/>
          </w:tcPr>
          <w:p>
            <w:pPr>
              <w:pStyle w:val="TableContents"/>
              <w:bidi w:val="0"/>
              <w:spacing w:before="0" w:after="283"/>
              <w:jc w:val="right"/>
              <w:rPr/>
            </w:pPr>
            <w:r>
              <w:rPr/>
              <w:t>2,826</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965" w:type="dxa"/>
            <w:tcBorders/>
            <w:tcMar>
              <w:bottom w:w="0" w:type="dxa"/>
            </w:tcMar>
            <w:vAlign w:val="center"/>
          </w:tcPr>
          <w:p>
            <w:pPr>
              <w:pStyle w:val="TableContents"/>
              <w:bidi w:val="0"/>
              <w:spacing w:before="0" w:after="0"/>
              <w:jc w:val="left"/>
              <w:rPr/>
            </w:pPr>
            <w:r>
              <w:rPr>
                <w:spacing w:val="4"/>
              </w:rPr>
              <w:t>Michael Sember</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554" w:type="dxa"/>
            <w:tcBorders/>
            <w:tcMar>
              <w:bottom w:w="0" w:type="dxa"/>
            </w:tcMar>
            <w:vAlign w:val="center"/>
          </w:tcPr>
          <w:p>
            <w:pPr>
              <w:pStyle w:val="TableContents"/>
              <w:bidi w:val="0"/>
              <w:spacing w:before="0" w:after="283"/>
              <w:jc w:val="right"/>
              <w:rPr/>
            </w:pPr>
            <w:r>
              <w:rPr/>
              <w:t xml:space="preserve">2,005 </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965" w:type="dxa"/>
            <w:tcBorders/>
            <w:shd w:fill="CCEEFF" w:val="clear"/>
            <w:tcMar>
              <w:bottom w:w="0" w:type="dxa"/>
            </w:tcMar>
            <w:vAlign w:val="center"/>
          </w:tcPr>
          <w:p>
            <w:pPr>
              <w:pStyle w:val="TableContents"/>
              <w:bidi w:val="0"/>
              <w:spacing w:before="0" w:after="0"/>
              <w:jc w:val="left"/>
              <w:rPr/>
            </w:pPr>
            <w:r>
              <w:rPr>
                <w:spacing w:val="4"/>
              </w:rPr>
              <w:t>Sally Lawlor</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554" w:type="dxa"/>
            <w:tcBorders/>
            <w:shd w:fill="CCEEFF" w:val="clear"/>
            <w:tcMar>
              <w:bottom w:w="0" w:type="dxa"/>
            </w:tcMar>
            <w:vAlign w:val="center"/>
          </w:tcPr>
          <w:p>
            <w:pPr>
              <w:pStyle w:val="TableContents"/>
              <w:bidi w:val="0"/>
              <w:spacing w:before="0" w:after="283"/>
              <w:jc w:val="right"/>
              <w:rPr/>
            </w:pPr>
            <w:r>
              <w:rPr/>
              <w:t>15,806</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965" w:type="dxa"/>
            <w:tcBorders/>
            <w:tcMar>
              <w:bottom w:w="0" w:type="dxa"/>
            </w:tcMar>
            <w:vAlign w:val="center"/>
          </w:tcPr>
          <w:p>
            <w:pPr>
              <w:pStyle w:val="TableContents"/>
              <w:bidi w:val="0"/>
              <w:spacing w:before="0" w:after="0"/>
              <w:jc w:val="left"/>
              <w:rPr/>
            </w:pPr>
            <w:r>
              <w:rPr>
                <w:spacing w:val="4"/>
              </w:rPr>
              <w:t>All current directors and officers as a group (8 persons)</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554" w:type="dxa"/>
            <w:tcBorders/>
            <w:tcMar>
              <w:bottom w:w="0" w:type="dxa"/>
            </w:tcMar>
            <w:vAlign w:val="center"/>
          </w:tcPr>
          <w:p>
            <w:pPr>
              <w:pStyle w:val="TableContents"/>
              <w:bidi w:val="0"/>
              <w:spacing w:before="0" w:after="283"/>
              <w:jc w:val="right"/>
              <w:rPr/>
            </w:pPr>
            <w:r>
              <w:rPr/>
              <w:t xml:space="preserve">377,433 </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7.54%</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37,713 ADSs held directly, (ii) 13,229 ADSs issuable upon the exercise of options which may be exercised within 60 days of the Record Date, and (iii) 41,991 ADSs issuable upon the exercise of warrants that may be exercised within 60 days of the Record Date. </w:t>
      </w:r>
      <w:r>
        <mc:AlternateContent>
          <mc:Choice Requires="wps">
            <w:drawing>
              <wp:anchor behindDoc="0" distT="10541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37,709 ADSs held directly, (ii) 13,229 ADSs issuable upon the exercise of options which may be exercised within 60 days of the Record Date, and (iii) 41,991 ADSs issuable upon the exercise of warrants that may be exercised within 60 days of the Record Date. </w:t>
      </w:r>
      <w:r>
        <mc:AlternateContent>
          <mc:Choice Requires="wps">
            <w:drawing>
              <wp:anchor behindDoc="0" distT="5334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2,005 ADSs issuable upon the exercise of options which may be exercised within 60 days of the Record Date. </w:t>
      </w:r>
      <w:r>
        <mc:AlternateContent>
          <mc:Choice Requires="wps">
            <w:drawing>
              <wp:anchor behindDoc="0" distT="5334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40,364 ADSs held directly, (ii) 4,741 ADSs issuable upon the exercise of options which may be exercised within 60 days of the Record Date, and (iii) 8,787 ADSs issuable upon the exercise of warrants that may be exercised within 60 days of the Record Date. </w:t>
      </w:r>
      <w:r>
        <mc:AlternateContent>
          <mc:Choice Requires="wps">
            <w:drawing>
              <wp:anchor behindDoc="0" distT="5334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49,688 ADSs held directly, (ii) 4,741 ADSs issuable upon the exercise of options which may be exercised within 60 days of the Record Date and (iii) 60,608 ADSs issuable upon the exercise of warrants that may be exercised within 60 days of the Record Date. </w:t>
      </w:r>
      <w:r>
        <mc:AlternateContent>
          <mc:Choice Requires="wps">
            <w:drawing>
              <wp:anchor behindDoc="0" distT="5334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2,826 ADSs issuable upon the exercise of options which may be exercised within 60 days of the Record Date. </w:t>
      </w:r>
      <w:r>
        <mc:AlternateContent>
          <mc:Choice Requires="wps">
            <w:drawing>
              <wp:anchor behindDoc="0" distT="5334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2,005 ADSs issuable upon the exercise of options which may be exercised within 60 days of the Record Date.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10,684 ADSs held directly and (ii) 5,122 ADSs issuable upon the exercise of warrants that may be exercised within 60 days of the Record Date.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(i) 176,158 ADSs held directly, (ii) 42,776 ADSs issuable upon the exercise of options which may be exercised within 60 days of the Record Date, and (iii)158,499 ADSs issuable upon the exercise of warrants that may be exercised within 60 days of the Record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HPR"/>
      <w:bookmarkEnd w:id="8"/>
      <w:r>
        <w:rPr>
          <w:rFonts w:ascii="calibri;arial;sans-serif" w:hAnsi="calibri;arial;sans-serif"/>
          <w:b w:val="false"/>
          <w:i w:val="false"/>
          <w:caps w:val="false"/>
          <w:smallCaps w:val="false"/>
          <w:color w:val="000000"/>
          <w:sz w:val="16"/>
        </w:rPr>
        <w:t>​</w:t>
      </w:r>
      <w:bookmarkStart w:id="9" w:name="tHOPM"/>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one or more shareholders of Quoin holding at least five percent (5%) of Quoin’s voting rights may request, subject to our Articles of Association, the Companies Law and the regulations promulgated thereunder, that the Board include a matter on the agenda of a general meeting to nominate a candidate to serve on our Board or to remove an acting director from service therefrom, if the Board determines that the proposed matter is appropriate to be considered at a general meeting, whereas the proposal to include any other matter on the agenda of a general meeting can be requested by any one or more shareholders of Quoin holding at least one percent (1%) of Quoin’s voting rights. In order for the Board to consider a shareholder proposal and whether to include the matter stated therein in the agenda of a general meeting, notice of the shareholder proposal must be timely delivered in accordance with the Companies Law and the regulations thereto and must comply with the requirements of our Articles of Association, and any applicable law and stock exchange rules and regulations. To be considered submitted in a timely manner under the Companies Law, such proposal must be delivered by no later than seven days following our notice of the annual meeting. The proposal must be in writing, signed by all proposing shareholder(s) making such request, accompanied by evidence satisfactory to us of their aggregate holdings of at least 1% of our voting rights and, for a proposal of a candidate to serve on our Board or to remove an acting director from service therefrom, evidence satisfactory to us of their aggregate holdings of at least 5% of our voting rights, and further accompanied by such candidate’s details in accordance with Section 26 of the Israeli Securities Regulations (Periodic and Immediate Reports), 1970, and by the candidate’s affidavit as required under Section 224B of the Companies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shareholder proposals may be submitted for inclusion in proxy materials under Rule 14a-8 under the Exchange Act. Pursuant to Rule 14a-8 under the Exchange Act, to be eligible for inclusion in our proxy materials for the 2027 Annual General Meeting of Shareholders, shareholder proposals must be received by Quoin no later than March 18, 2027, and must comply with all applicable requirements of Rule 14a-8. In addition to satisfying the foregoing requirements, to comply with the universal proxy rules, shareholders who intend to solicit proxies in support of director nominees other than Quoin’s nominees must provide notice that sets forth the information required by Rule 14a-19 under the Exchange Act no later than June 21,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shareholder proposals should be addressed to: Quoin Pharmaceuticals Ltd., 42127 Pleasant Forest Court, Ashburn, Virginia 20148, 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(e.g., brokers) to satisfy the delivery requirements for meeting materials with respect to two or more shareholders sharing the same address by delivering a single set of meeting materials addressed to those shareholders. This process, which is commonly referred to as “householding,” potentially means extra convenience for shareholders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year, a number of brokers with account holders who are shareholders will be “householding” our proxy materials. A single set of meeting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meeting materials, please notify us and such materials will be promptly delivered to you. Direct your written request to Quoin Pharmaceuticals Ltd., 42127 Pleasant Forest Court, Ashburn, Virginia 20148, Attn: Corporate Secretary. Shareholders who currently receive multiple copies of the meeting materials at their addresses and would like to request “householding” of their communications should contact their brokers.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OTBU"/>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does not expect any other matters to be presented at the Special Meeting other than those specified in the enclosed Notice of Special Meeting of Shareholders. If any other matters do properly come before the Special Meeting, it is intended that the person named as proxy will vote, pursuant to her discretionary authority, according to her best judgment and discretion. </w:t>
      </w:r>
    </w:p>
    <w:p>
      <w:pPr>
        <w:pStyle w:val="TextBody"/>
        <w:bidi w:val="0"/>
        <w:spacing w:lineRule="atLeast" w:line="240" w:before="3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2026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Card for Record Holders of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52625" cy="485775"/>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IS SOLICITED ON BEHALF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shareholder of Quoin Pharmaceuticals Ltd.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hereby appoints Sally Lawlor, as agent and proxy of the undersigned, with full power of substitution, to appear, and to vote on behalf of the undersigned all ordinary shares of the Company which the undersigned is entitled to vote at the special general meeting of shareholders (the “</w:t>
      </w:r>
      <w:r>
        <w:rPr>
          <w:rFonts w:ascii="Times New Roman;Times;serif" w:hAnsi="Times New Roman;Times;serif"/>
          <w:b/>
          <w:i w:val="false"/>
          <w:caps w:val="false"/>
          <w:smallCaps w:val="false"/>
          <w:color w:val="000000"/>
          <w:spacing w:val="-4"/>
          <w:sz w:val="20"/>
        </w:rPr>
        <w:t>Special Meeting</w:t>
      </w:r>
      <w:r>
        <w:rPr>
          <w:rFonts w:ascii="Times New Roman;Times;serif" w:hAnsi="Times New Roman;Times;serif"/>
          <w:b w:val="false"/>
          <w:i w:val="false"/>
          <w:caps w:val="false"/>
          <w:smallCaps w:val="false"/>
          <w:color w:val="000000"/>
          <w:spacing w:val="4"/>
          <w:sz w:val="20"/>
        </w:rPr>
        <w:t>”) to be held at the offices of Blank Rome LLP located at One Logan Square, Philadelphia, Pennsylvania 19103, on Thursday, November 12, 2026, at 12:00 p.m., US Eastern Time, and at any adjournments or postponements thereof, with all the powers and authority the undersigned would possess if personally present at the Special Meeting, upon the following matters, which are more fully described in the Notice of Special Meeting of Shareholders (the “</w:t>
      </w:r>
      <w:r>
        <w:rPr>
          <w:rFonts w:ascii="Times New Roman;Times;serif" w:hAnsi="Times New Roman;Times;serif"/>
          <w:b/>
          <w:i w:val="false"/>
          <w:caps w:val="false"/>
          <w:smallCaps w:val="false"/>
          <w:color w:val="000000"/>
          <w:spacing w:val="-4"/>
          <w:sz w:val="20"/>
        </w:rPr>
        <w:t>Notice</w:t>
      </w:r>
      <w:r>
        <w:rPr>
          <w:rFonts w:ascii="Times New Roman;Times;serif" w:hAnsi="Times New Roman;Times;serif"/>
          <w:b w:val="false"/>
          <w:i w:val="false"/>
          <w:caps w:val="false"/>
          <w:smallCaps w:val="false"/>
          <w:color w:val="000000"/>
          <w:spacing w:val="4"/>
          <w:sz w:val="20"/>
        </w:rPr>
        <w:t>”) and the Proxy Statement relating to the Special Meeting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is available at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caps w:val="false"/>
          <w:smallCaps w:val="false"/>
          <w:color w:val="000000"/>
          <w:spacing w:val="-4"/>
          <w:sz w:val="20"/>
        </w:rPr>
        <w:t>https://investors.quoinpharma.com/proxy-statement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acknowledges receipt of the Notice and the Proxy Statement. Capitalized terms that are not defined herein have the meaning ascribed to those terms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when properly executed, will be voted in the manner directed herein by the undersigned and in the discretion of the proxy holder as to any other matters that may properly come before the Special Meeting or any adjournment or postponement thereof. If no direction is made with respect to any Proposal, this Proxy will be deemed to constitute an abstention with respect to such Proposal. Any and all proxies heretofore given by the undersigned are hereby revoked.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(Continued and to be signed on the reverse side)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GENERAL MEETING OF SHAREHOLDERS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QUOIN PHARMACEUTICALS LTD.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Thursday, November 12,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SIGN, DATE AND RETURN PROMPTLY.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PLEASE MARK YOUR VOTE IN BLUE OR BLACK INK AS SHOWN HERE ☒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RECOMMENDS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 VOTE “FOR” EACH OF PROPOSALS 1 AND 2. </w:t>
      </w:r>
    </w:p>
    <w:tbl>
      <w:tblPr>
        <w:tblW w:w="8812" w:type="dxa"/>
        <w:jc w:val="left"/>
        <w:tblInd w:w="1393" w:type="dxa"/>
        <w:tblLayout w:type="fixed"/>
        <w:tblCellMar>
          <w:top w:w="0" w:type="dxa"/>
          <w:left w:w="0" w:type="dxa"/>
          <w:bottom w:w="28" w:type="dxa"/>
          <w:right w:w="0" w:type="dxa"/>
        </w:tblCellMar>
      </w:tblPr>
      <w:tblGrid>
        <w:gridCol w:w="983"/>
        <w:gridCol w:w="109"/>
        <w:gridCol w:w="109"/>
        <w:gridCol w:w="4719"/>
        <w:gridCol w:w="109"/>
        <w:gridCol w:w="109"/>
        <w:gridCol w:w="432"/>
        <w:gridCol w:w="109"/>
        <w:gridCol w:w="109"/>
        <w:gridCol w:w="825"/>
        <w:gridCol w:w="109"/>
        <w:gridCol w:w="109"/>
        <w:gridCol w:w="825"/>
        <w:gridCol w:w="156"/>
      </w:tblGrid>
      <w:tr>
        <w:trPr/>
        <w:tc>
          <w:tcPr>
            <w:tcW w:w="9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2"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For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5"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Against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5"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Abstain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983" w:type="dxa"/>
            <w:tcBorders/>
            <w:tcMar>
              <w:bottom w:w="0" w:type="dxa"/>
            </w:tcMar>
            <w:vAlign w:val="center"/>
          </w:tcPr>
          <w:p>
            <w:pPr>
              <w:pStyle w:val="TableContents"/>
              <w:bidi w:val="0"/>
              <w:spacing w:before="0" w:after="283"/>
              <w:jc w:val="left"/>
              <w:rPr>
                <w:spacing w:val="4"/>
              </w:rPr>
            </w:pPr>
            <w:r>
              <w:rPr>
                <w:spacing w:val="4"/>
              </w:rPr>
              <w:t xml:space="preserve">Proposal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9" w:type="dxa"/>
            <w:tcBorders/>
            <w:tcMar>
              <w:bottom w:w="0" w:type="dxa"/>
            </w:tcMar>
            <w:vAlign w:val="center"/>
          </w:tcPr>
          <w:p>
            <w:pPr>
              <w:pStyle w:val="TableContents"/>
              <w:bidi w:val="0"/>
              <w:spacing w:before="0" w:after="283"/>
              <w:jc w:val="left"/>
              <w:rPr>
                <w:spacing w:val="4"/>
              </w:rPr>
            </w:pPr>
            <w:r>
              <w:rPr>
                <w:spacing w:val="4"/>
              </w:rPr>
              <w:t xml:space="preserve">To approve a proposal to amend the beneficial ownership limitations imposed on each investor in the transaction documents entered into in connection with the Company’s private placement transactions consummated on October 14, 2025 and August 31, 2026, as applicable, to permit each such investor, upon written notice to the Company, to increase its applicable beneficial ownership limitations (including any corresponding limitations on voting power) from 4.99% to any percentage not exceeding 9.99% of the number of the Company’s outstanding Ordinary Shares (including Ordinary Shares represented by ADSs), determined immediately after giving effect to the issuance of the applicable securities, for purposes of both Section 13(d) of the Exchange Act and Section 270(5) and Section 274 of the Companies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spacing w:val="4"/>
              </w:rPr>
            </w:pPr>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983" w:type="dxa"/>
            <w:tcBorders/>
            <w:tcMar>
              <w:bottom w:w="0" w:type="dxa"/>
            </w:tcMar>
            <w:vAlign w:val="center"/>
          </w:tcPr>
          <w:p>
            <w:pPr>
              <w:pStyle w:val="TableContents"/>
              <w:bidi w:val="0"/>
              <w:spacing w:before="0" w:after="283"/>
              <w:jc w:val="left"/>
              <w:rPr>
                <w:spacing w:val="4"/>
              </w:rPr>
            </w:pPr>
            <w:r>
              <w:rPr>
                <w:spacing w:val="4"/>
              </w:rPr>
              <w:t xml:space="preserve">Proposal 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9" w:type="dxa"/>
            <w:tcBorders/>
            <w:tcMar>
              <w:bottom w:w="0" w:type="dxa"/>
            </w:tcMar>
            <w:vAlign w:val="center"/>
          </w:tcPr>
          <w:p>
            <w:pPr>
              <w:pStyle w:val="TableContents"/>
              <w:bidi w:val="0"/>
              <w:spacing w:before="0" w:after="283"/>
              <w:jc w:val="left"/>
              <w:rPr>
                <w:spacing w:val="4"/>
              </w:rPr>
            </w:pPr>
            <w:r>
              <w:rPr>
                <w:spacing w:val="4"/>
              </w:rPr>
              <w:t xml:space="preserve">To approve an adjournment of the Special Meeting to a later date, if necessary or appropriate, to permit further solicitation and vote of proxies in the event that there are insufficient votes for, or otherwise in connection with, the approval of Proposal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5" w:type="dxa"/>
            <w:tcBorders/>
            <w:tcMar>
              <w:bottom w:w="0" w:type="dxa"/>
            </w:tcMar>
            <w:vAlign w:val="center"/>
          </w:tcPr>
          <w:p>
            <w:pPr>
              <w:pStyle w:val="TableContents"/>
              <w:bidi w:val="0"/>
              <w:spacing w:before="0" w:after="0"/>
              <w:jc w:val="center"/>
              <w:rPr/>
            </w:pPr>
            <w:r>
              <w:rPr>
                <w:spacing w:val="4"/>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exactly as your name appears on the certificate representing your shares. If ordinary shares are held jointly, each holder should sign. If signing as an executor, administrator, trustee, guardian or other fiduciary, please give full title as such. If the signer is a corporation or partnership, please insert full corporate or partnership name and signature by a duly authorized officer or person of such corporation or partnership, as applicable, giving full title as such. </w:t>
      </w:r>
    </w:p>
    <w:tbl>
      <w:tblPr>
        <w:tblW w:w="4192" w:type="dxa"/>
        <w:jc w:val="left"/>
        <w:tblInd w:w="1393" w:type="dxa"/>
        <w:tblLayout w:type="fixed"/>
        <w:tblCellMar>
          <w:top w:w="0" w:type="dxa"/>
          <w:left w:w="0" w:type="dxa"/>
          <w:bottom w:w="0" w:type="dxa"/>
          <w:right w:w="0" w:type="dxa"/>
        </w:tblCellMar>
      </w:tblPr>
      <w:tblGrid>
        <w:gridCol w:w="124"/>
        <w:gridCol w:w="748"/>
        <w:gridCol w:w="109"/>
        <w:gridCol w:w="109"/>
        <w:gridCol w:w="1098"/>
        <w:gridCol w:w="109"/>
        <w:gridCol w:w="109"/>
        <w:gridCol w:w="628"/>
        <w:gridCol w:w="109"/>
        <w:gridCol w:w="109"/>
        <w:gridCol w:w="786"/>
        <w:gridCol w:w="154"/>
      </w:tblGrid>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Signature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spacing w:val="4"/>
              </w:rPr>
            </w:pPr>
            <w:r>
              <w:rPr>
                <w:spacing w:val="4"/>
              </w:rPr>
              <w:t xml:space="preserve">, 2026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Signature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pPr>
            <w:r>
              <w:rPr>
                <w:spacing w:val="4"/>
              </w:rPr>
              <w:t>,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8078</Words>
  <Characters>43015</Characters>
  <CharactersWithSpaces>51519</CharactersWithSpaces>
  <Paragraphs>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