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left"/>
              <w:rPr/>
            </w:pPr>
            <w:r>
              <w:rPr/>
              <w:t xml:space="preserve">UNDER THE SECURITIES EXCHANGE ACT OF 1934 </w:t>
            </w:r>
          </w:p>
        </w:tc>
      </w:tr>
      <w:tr>
        <w:trPr/>
        <w:tc>
          <w:tcPr>
            <w:tcW w:w="10205"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Quoin Pharmaceuticals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American Depositary Shares, each representing thirty-five (35) Ordinary Shares, no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Ikarian Capital,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211,538.00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211,538.00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211,538.00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figures in Items 6, 8, and 9 represent American Depositary Shares, each representing thirty-five (35) Ordinary Shares, no par value per share ("ADS") of Quoin Pharmaceuticals, Ltd. (the "Issuer") held by Ikarian Healthcare Master Fund, L.P., a Cayman Islands exempted limited partnership (the "Fund"), and certain separate managed accounts. See Item 2 for more information. (2) The figure in Item 11 is based upon 4,804,161 ADS outstanding as of September 16, 2026, as disclosed in the Issuer's prospectus filed with the U.S. Securities and Exchange Commission (the "SEC") on September 25,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Neil Shahrestani</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211,538.00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211,538.00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211,538.00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(1) The figures in Items 6, 8, and 9 represent American Depositary Shares, each representing thirty-five (35) Ordinary Shares, no par value per share ("ADS") of Quoin Pharmaceuticals, Ltd. (the "Issuer") held by Ikarian Healthcare Master Fund, L.P., a Cayman Islands exempted limited partnership (the "Fund"), and certain separate managed accounts. See Item 2 for more information. (2) The figure in Item 11 is based upon 4,804,161 ADS outstanding as of September 16, 2026, as disclosed in the Issuer's prospectus filed with the U.S. Securities and Exchange Commission (the "SEC") on September 25,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8"/>
        <w:gridCol w:w="8892"/>
        <w:gridCol w:w="155"/>
      </w:tblGrid>
      <w:tr>
        <w:trPr/>
        <w:tc>
          <w:tcPr>
            <w:tcW w:w="1158" w:type="dxa"/>
            <w:tcBorders/>
            <w:vAlign w:val="center"/>
          </w:tcPr>
          <w:p>
            <w:pPr>
              <w:pStyle w:val="TableContents"/>
              <w:bidi w:val="0"/>
              <w:spacing w:before="0" w:after="283"/>
              <w:jc w:val="left"/>
              <w:rPr/>
            </w:pPr>
            <w:r>
              <w:rPr/>
              <w:t>Item 1.</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issuer: </w:t>
            </w:r>
          </w:p>
          <w:p>
            <w:pPr>
              <w:pStyle w:val="TableContents"/>
              <w:bidi w:val="0"/>
              <w:spacing w:before="0" w:after="0"/>
              <w:jc w:val="left"/>
              <w:rPr/>
            </w:pPr>
            <w:r>
              <w:rPr/>
              <w:t>Quoin Pharmaceuticals Ltd.</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42127 Pleasant Forest Court, Ashburn, VA 20148-7349</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2.</w:t>
            </w:r>
          </w:p>
        </w:tc>
        <w:tc>
          <w:tcPr>
            <w:tcW w:w="889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jointly by and on behalf of each of Ikarian Capital, LLC, a Delaware limited liability company ("Ikarian Capital"), and Neil Shahrestani (together referred herein as the "Reporting Persons"). The Fund, and certain separately managed accounts managed by Ikarian Capital (collectively, the "Managed Accounts"), are the record owners of the securities covered by this statement. Ikarian Capital is an investment adviser registered under the Investment Advisers Act of 1940, as amended, and serves as investment manager to the Fund and as sub-adviser to the Managed Accounts, and may be deemed to have beneficial ownership of the securities covered by this statement through the investment discretion it has over the Fund and the Managed Accounts. Ikarian Capital is ultimately controlled, indirectly, by Mr. Shahrestani. Accordingly, Mr. Shahrestani may be deemed to indirectly beneficially own securities beneficially owned by Ikarian Capital. The Fund disclaims beneficial ownership of the shares held by the Managed Accounts. The Managed Accounts disclaim beneficial ownership of the shares held by the Fund. Each Reporting Person declares that neither the filing of this statement nor anything herein shall be construed as an admission that such person is, for the purposes of Section 13(d) or 13(g) of the Act or any other purpose, the beneficial owner of any securities covered by this statement. Each Reporting Person may be deemed to be a member of a group with respect to the issuer or securities of the issuer for the purpose of Section 13(d) or 13(g) of the Act. Each of the Reporting Persons declares that neither the filing of this statement nor anything herein shall be construed as an admission that such person is, for the purpose of Section 13(d) or 13(g) of the Act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Ikarian Capital, LLC, 100 Crescent Court, Suite 1620, Dallas, Texas 75201.</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on the cover page(s) hereto</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American Depositary Shares, each representing thirty-five (35) Ordinary Shares, no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3.</w:t>
            </w:r>
          </w:p>
        </w:tc>
        <w:tc>
          <w:tcPr>
            <w:tcW w:w="889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(d)</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(e)</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(f)</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(g)</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(h)</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(j)</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(k)</w:t>
            </w:r>
          </w:p>
        </w:tc>
        <w:tc>
          <w:tcPr>
            <w:tcW w:w="8892"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9047" w:type="dxa"/>
            <w:gridSpan w:val="2"/>
            <w:tcBorders/>
            <w:vAlign w:val="center"/>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4.</w:t>
            </w:r>
          </w:p>
        </w:tc>
        <w:tc>
          <w:tcPr>
            <w:tcW w:w="889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(a)</w:t>
            </w:r>
          </w:p>
        </w:tc>
        <w:tc>
          <w:tcPr>
            <w:tcW w:w="889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Item 9 on the cover pages(s) hereto.</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(b)</w:t>
            </w:r>
          </w:p>
        </w:tc>
        <w:tc>
          <w:tcPr>
            <w:tcW w:w="889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Item 11 on the cover page(s) hereto.  %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(c)</w:t>
            </w:r>
          </w:p>
        </w:tc>
        <w:tc>
          <w:tcPr>
            <w:tcW w:w="889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Item 5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Item 6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Item 7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Item 8 on the cover page(s) hereto.</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5.</w:t>
            </w:r>
          </w:p>
        </w:tc>
        <w:tc>
          <w:tcPr>
            <w:tcW w:w="889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6.</w:t>
            </w:r>
          </w:p>
        </w:tc>
        <w:tc>
          <w:tcPr>
            <w:tcW w:w="889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information set forth in Item 2(a)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7.</w:t>
            </w:r>
          </w:p>
        </w:tc>
        <w:tc>
          <w:tcPr>
            <w:tcW w:w="889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8.</w:t>
            </w:r>
          </w:p>
        </w:tc>
        <w:tc>
          <w:tcPr>
            <w:tcW w:w="889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Item 9.</w:t>
            </w:r>
          </w:p>
        </w:tc>
        <w:tc>
          <w:tcPr>
            <w:tcW w:w="889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8" w:type="dxa"/>
            <w:tcBorders/>
            <w:vAlign w:val="center"/>
          </w:tcPr>
          <w:p>
            <w:pPr>
              <w:pStyle w:val="TableContents"/>
              <w:bidi w:val="0"/>
              <w:spacing w:before="0" w:after="283"/>
              <w:jc w:val="left"/>
              <w:rPr/>
            </w:pPr>
            <w:r>
              <w:rPr/>
              <w:t> </w:t>
            </w:r>
          </w:p>
        </w:tc>
        <w:tc>
          <w:tcPr>
            <w:tcW w:w="889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530" w:type="dxa"/>
        <w:jc w:val="left"/>
        <w:tblInd w:w="0" w:type="dxa"/>
        <w:tblLayout w:type="fixed"/>
        <w:tblCellMar>
          <w:top w:w="28" w:type="dxa"/>
          <w:left w:w="28" w:type="dxa"/>
          <w:bottom w:w="28" w:type="dxa"/>
          <w:right w:w="28" w:type="dxa"/>
        </w:tblCellMar>
      </w:tblPr>
      <w:tblGrid>
        <w:gridCol w:w="2265"/>
        <w:gridCol w:w="2265"/>
      </w:tblGrid>
      <w:tr>
        <w:trPr/>
        <w:tc>
          <w:tcPr>
            <w:tcW w:w="2265" w:type="dxa"/>
            <w:tcBorders/>
            <w:vAlign w:val="center"/>
          </w:tcPr>
          <w:p>
            <w:pPr>
              <w:pStyle w:val="TableContents"/>
              <w:bidi w:val="0"/>
              <w:spacing w:before="0" w:after="0"/>
              <w:jc w:val="left"/>
              <w:rPr/>
            </w:pPr>
            <w:r>
              <w:rPr/>
              <w:t> </w:t>
            </w:r>
          </w:p>
          <w:tbl>
            <w:tblPr>
              <w:tblW w:w="2146" w:type="dxa"/>
              <w:jc w:val="left"/>
              <w:tblInd w:w="0" w:type="dxa"/>
              <w:tblLayout w:type="fixed"/>
              <w:tblCellMar>
                <w:top w:w="28" w:type="dxa"/>
                <w:left w:w="28" w:type="dxa"/>
                <w:bottom w:w="28" w:type="dxa"/>
                <w:right w:w="28" w:type="dxa"/>
              </w:tblCellMar>
            </w:tblPr>
            <w:tblGrid>
              <w:gridCol w:w="2146"/>
            </w:tblGrid>
            <w:tr>
              <w:trPr/>
              <w:tc>
                <w:tcPr>
                  <w:tcW w:w="2146" w:type="dxa"/>
                  <w:tcBorders/>
                  <w:vAlign w:val="center"/>
                </w:tcPr>
                <w:p>
                  <w:pPr>
                    <w:pStyle w:val="TableContents"/>
                    <w:bidi w:val="0"/>
                    <w:spacing w:before="0" w:after="0"/>
                    <w:jc w:val="left"/>
                    <w:rPr/>
                  </w:pPr>
                  <w:r>
                    <w:rPr/>
                    <w:t>Ikarian Capital, LLC</w:t>
                  </w:r>
                </w:p>
              </w:tc>
            </w:tr>
          </w:tbl>
          <w:p>
            <w:pPr>
              <w:pStyle w:val="TableContents"/>
              <w:bidi w:val="0"/>
              <w:spacing w:before="0" w:after="283"/>
              <w:jc w:val="left"/>
              <w:rPr/>
            </w:pPr>
            <w:r>
              <w:rPr/>
            </w:r>
          </w:p>
        </w:tc>
        <w:tc>
          <w:tcPr>
            <w:tcW w:w="2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4"/>
        <w:gridCol w:w="4261"/>
      </w:tblGrid>
      <w:tr>
        <w:trPr/>
        <w:tc>
          <w:tcPr>
            <w:tcW w:w="59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Neil Shahrestani</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Neil Shahrestani, Sole 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61"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Neil Shahrestani</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8"/>
        <w:gridCol w:w="4277"/>
      </w:tblGrid>
      <w:tr>
        <w:trPr/>
        <w:tc>
          <w:tcPr>
            <w:tcW w:w="592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Neil Shahrestani</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Neil Shahrestani</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10/07/2026</w:t>
                  </w:r>
                </w:p>
              </w:tc>
            </w:tr>
          </w:tbl>
          <w:p>
            <w:pPr>
              <w:pStyle w:val="TableContents"/>
              <w:bidi w:val="0"/>
              <w:spacing w:before="0" w:after="283"/>
              <w:jc w:val="left"/>
              <w:rPr/>
            </w:pPr>
            <w:r>
              <w:rPr/>
            </w:r>
          </w:p>
        </w:tc>
        <w:tc>
          <w:tcPr>
            <w:tcW w:w="427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A Joint Filing Agreement is incorporated herein by reference to Exhibit 99.1 to the Schedule 13G filed on December 15, 2025 by the Reporting Persons with the SEC.</w:t>
      </w:r>
    </w:p>
    <w:tbl>
      <w:tblPr>
        <w:tblW w:w="4741" w:type="dxa"/>
        <w:jc w:val="left"/>
        <w:tblInd w:w="0" w:type="dxa"/>
        <w:tblLayout w:type="fixed"/>
        <w:tblCellMar>
          <w:top w:w="28" w:type="dxa"/>
          <w:left w:w="28" w:type="dxa"/>
          <w:bottom w:w="28" w:type="dxa"/>
          <w:right w:w="28" w:type="dxa"/>
        </w:tblCellMar>
      </w:tblPr>
      <w:tblGrid>
        <w:gridCol w:w="4741"/>
      </w:tblGrid>
      <w:tr>
        <w:trPr/>
        <w:tc>
          <w:tcPr>
            <w:tcW w:w="4741" w:type="dxa"/>
            <w:tcBorders/>
            <w:vAlign w:val="center"/>
          </w:tcPr>
          <w:p>
            <w:pPr>
              <w:pStyle w:val="TableContents"/>
              <w:bidi w:val="0"/>
              <w:spacing w:before="0" w:after="283"/>
              <w:jc w:val="center"/>
              <w:rPr>
                <w:b/>
              </w:rPr>
            </w:pPr>
            <w:r>
              <w:rPr>
                <w:b/>
              </w:rPr>
              <w:t xml:space="preserve">Exhibit Information </w:t>
            </w:r>
          </w:p>
        </w:tc>
      </w:tr>
      <w:tr>
        <w:trPr/>
        <w:tc>
          <w:tcPr>
            <w:tcW w:w="4741" w:type="dxa"/>
            <w:tcBorders/>
            <w:vAlign w:val="center"/>
          </w:tcPr>
          <w:p>
            <w:pPr>
              <w:pStyle w:val="TableContents"/>
              <w:bidi w:val="0"/>
              <w:spacing w:before="0" w:after="283"/>
              <w:jc w:val="left"/>
              <w:rPr/>
            </w:pPr>
            <w:r>
              <w:rPr/>
              <w:t>EXHIBIT 99 - JOINT FILING AGREEMENT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1644</Words>
  <Characters>8478</Characters>
  <CharactersWithSpaces>10095</CharactersWithSpaces>
  <Paragraphs>214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