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615-4_4seq1.xml.htm"/>
      <w:bookmarkStart w:id="1" w:name="kstm26246154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Carter Denise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QUOIN PHARMACEUTICALS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42127 PLEASANT FOREST COURT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Quoin Pharmaceuticals, Ltd.</w:t>
              </w:r>
            </w:hyperlink>
            <w:r>
              <w:rPr/>
              <w:t xml:space="preserve"> [ </w:t>
            </w:r>
            <w:r>
              <w:rPr>
                <w:rFonts w:ascii="Times;serif" w:hAnsi="Times;serif"/>
                <w:color w:val="0000FF"/>
                <w:sz w:val="24"/>
                <w:shd w:fill="FFFFFF" w:val="clear"/>
              </w:rPr>
              <w:t>QNRX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5"/>
        <w:gridCol w:w="903"/>
        <w:gridCol w:w="772"/>
        <w:gridCol w:w="600"/>
        <w:gridCol w:w="352"/>
        <w:gridCol w:w="939"/>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ADSs</w:t>
            </w:r>
            <w:r>
              <w:rPr>
                <w:rFonts w:ascii="Times;serif" w:hAnsi="Times;serif"/>
                <w:color w:val="008000"/>
                <w:position w:val="7"/>
                <w:sz w:val="16"/>
                <w:sz w:val="20"/>
                <w:shd w:fill="FFFFFF" w:val="clear"/>
              </w:rPr>
              <w:t>(1)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20,490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37,709</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77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11"/>
        <w:gridCol w:w="276"/>
        <w:gridCol w:w="906"/>
        <w:gridCol w:w="801"/>
        <w:gridCol w:w="576"/>
        <w:gridCol w:w="801"/>
        <w:gridCol w:w="801"/>
        <w:gridCol w:w="936"/>
        <w:gridCol w:w="831"/>
        <w:gridCol w:w="846"/>
      </w:tblGrid>
      <w:tr>
        <w:trPr>
          <w:tblHeader w:val="true"/>
        </w:trPr>
        <w:tc>
          <w:tcPr>
            <w:tcW w:w="117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37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5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Ordinary Warrants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10,245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08/31/2026</w:t>
            </w: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5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ADS</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10,245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Ordinary Shares are represented by American Depositary Shares ("ADSs"). Each ADS represents thirty-five (35)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Purchased in Issuer's private placement of ADSs with 50% warrant coverage. The ADSs and accompanying ordinary warrants ("Warrants") were issued at a combined purchase price of $4.88.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Warrants were exercisable immediately upon issuance, subject to a beneficial ownership cap.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Warrants will expire on the earlier of (i) five (5) years from the date of issuance or (ii) 30 days after the Issuer's public announcement that the primary endpoint has been met in the clinical trial CL-QRX003-004 for the treatment of Netherton Syndrome.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Denise Carter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8621" TargetMode="External"/><Relationship Id="rId5" Type="http://schemas.openxmlformats.org/officeDocument/2006/relationships/hyperlink" Target="http://www.sec.gov/cgi-bin/browse-edgar?action=getcompany&amp;CIK=00016715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688</Words>
  <Characters>3765</Characters>
  <CharactersWithSpaces>4370</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