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7200" w:right="0" w:firstLine="720"/>
        <w:jc w:val="right"/>
        <w:rPr>
          <w:caps w:val="false"/>
          <w:smallCaps w:val="false"/>
        </w:rPr>
      </w:pPr>
      <w:bookmarkStart w:id="0" w:name="tm2625587d3_424b3.htm"/>
      <w:bookmarkStart w:id="1" w:name="kstm2625587d3_424b3"/>
      <w:bookmarkEnd w:id="0"/>
      <w:bookmarkEnd w:id="1"/>
      <w:r>
        <w:rPr>
          <w:caps w:val="false"/>
          <w:smallCaps w:val="false"/>
        </w:rPr>
        <w:t> </w:t>
      </w:r>
    </w:p>
    <w:p>
      <w:pPr>
        <w:pStyle w:val="TextBody"/>
        <w:bidi w:val="0"/>
        <w:spacing w:before="0" w:after="0"/>
        <w:ind w:left="720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333-299021</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Prospectus</w:t>
      </w:r>
    </w:p>
    <w:p>
      <w:pPr>
        <w:pStyle w:val="TextBody"/>
        <w:bidi w:val="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0480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762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9,371,895 American Depositary Shares Representing 328,016,325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of up to 9,371,895 American Depositary Shares (“ADSs”) representing 328,016,325 ordinary shares, no par value per share (“Ordinary Shares”) of Quoin Pharmaceuticals Ltd. (the “Company” or “Quoin”) by the selling shareholders identified in this prospectus, including their pledgees, assignees or successors-in-interest (collectively, the “Selling Shareholders”). Throughout this prospectus references to ADSs mean ADSs or Ordinary Shares represented by such ADSs, as the case may be. The ADSs being registered for resale herewith consist of: (i) 2,445,800 ADSs (the “Offered ADSs”) which Offered ADSs were issued pursuant to that certain securities purchase agreement (the “Purchase Agreement”), dated as of August 27, 2026, by and among us and the purchasers named therein (the “Purchasers”); (ii) 3,802,130 ADSs (the “Pre-Funded ADSs”) issued or issuable upon the exercise of pre-funded warrants (the “Pre-Funded Warrants”) that were issued pursuant to the Purchase Agreement, and (iii) 3,123,965 ADSs (the “Ordinary Warrant ADSs”) issuable upon the exercise of ordinary warrants (the “Ordinary Warrants”) (or upon the exercise of Exchange Warrants (as defined below) initially issued upon the exercise of the Ordinary Warrants) that were issued together with the Offered ADSs or the Pre-Funded Warrants, as applicable, pursuant to the Purchase Agreement. The ADSs being offered hereby were issued, or are issuable, pursuant to Pre-Funded Warrants or Ordinary Warrants issued, in a private placement transaction (the “Private Placement”) that closed on August 31, 2026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offering any ADSs under this prospectus and will not receive any proceeds from the sale or other disposition of the ADSs representing Ordinary Shares covered hereby. However, we could receive up to approximately $19.1 million, less placement agent fees, if all of the Ordinary Warrants issued to the Selling Shareholders are exercised for cash. See “Use of Proceeds” beginning on page 9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ADSs covered by this prospectus could cause substantial dilution to our existing shareholders. The number of ADSs covered by this prospectus (and not currently outstanding) represents approximately 144.2% of the number of ADSs outstanding as of the date of this prospectus. The actual number of ADSs that we issue to the Selling Shareholders may be less than the aggregate number of ADSs covered by this prospectus. Please refer to the risk factor entitled “</w:t>
      </w:r>
      <w:r>
        <w:rPr>
          <w:rFonts w:ascii="Times New Roman;Times;Serif" w:hAnsi="Times New Roman;Times;Serif"/>
          <w:b w:val="false"/>
          <w:i/>
          <w:caps w:val="false"/>
          <w:smallCaps w:val="false"/>
          <w:sz w:val="20"/>
        </w:rPr>
        <w:t xml:space="preserve">The issuance of the ADSs covered by this prospectus could significantly increase the total number of ADSs in the public market and thereby cause our existing shareholders to experience substantial dilution” </w:t>
      </w:r>
      <w:r>
        <w:rPr>
          <w:rFonts w:ascii="Times New Roman;Times;Serif" w:hAnsi="Times New Roman;Times;Serif"/>
          <w:b w:val="false"/>
          <w:i w:val="false"/>
          <w:caps w:val="false"/>
          <w:smallCaps w:val="false"/>
          <w:sz w:val="20"/>
        </w:rPr>
        <w:t>on page 10 of this prospectus. For additional information on the terms of the Ordinary Warrants, you should refer to the section of this prospectus entitled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ADSs subject to resale hereunder will have been issued by us and received by the Selling Shareholders prior to any resale of such ADSs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the registration statement on Form S-3 of which this prospectus forms a part to fulfill certain contractual obligations to the Selling Shareholders relating to the resale by the Selling Shareholders of the ADSs offered hereby. See “Selling Shareholders” beginning on page 13 of this prospectus for more information about the Selling Shareholders. The registration of the Ordinary Shares to which this prospectus relates does not require the Selling Shareholders to sell any of their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identified in this prospectus, or their pledgees, assignees or their respective successors-in-interest, from time to time may offer and sell through public or private transactions at prevailing market prices, at prices related to prevailing market prices or at privately negotiated prices the ADSs held by them directly or through underwriters, agents or broker-dealers on terms to be determined at the time of sale, as described in more detail in this prospectus. See “Plan of Distribution” beginning on page 20 of this prospectus for more information about how the Selling Shareholders may sell their respective ADSs. The Selling Shareholders may be deemed “underwriters” within the meaning of Section 2(a)(11) of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agreed, pursuant to a registration rights agreement, dated August 27, 2026, that we entered into with the Selling Shareholders (the “Registration Rights Agreement”), to bear all of the expenses in connection with the registration of the resale of the ADSs pursuant to this prospectus. The Selling Shareholders will pay or assume all commissions, discounts and fees of underwriters, agents, selling brokers or dealer managers and similar expenses, if any, attributable to their respective sales of such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under applicable Securities and Exchange Commission rules and, as such, have elected to comply with certain reduced public company disclosure requirements for this prospectus and future filings. See “Prospectus Summary—Implications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Capital Market (“Nasdaq”) under the symbol “QNRX.” On September 24, 2026, the closing price of our ADSs on Nasdaq was $6.38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ADSs involves risks. You should review carefully the risks and uncertainties described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contained in this prospectus and under similar headings in the other documents that are incorporated by reference into this prospectus, as described beginning on page 5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 The securities are not being offered in any jurisdiction where the offer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4370"/>
        <w:gridCol w:w="245"/>
      </w:tblGrid>
      <w:tr>
        <w:trPr/>
        <w:tc>
          <w:tcPr>
            <w:tcW w:w="43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val="false"/>
                  <w:i w:val="false"/>
                  <w:caps w:val="false"/>
                  <w:smallCaps w:val="false"/>
                  <w:sz w:val="20"/>
                </w:rPr>
                <w:t>ii</w:t>
              </w:r>
            </w:hyperlink>
          </w:p>
        </w:tc>
      </w:tr>
      <w:tr>
        <w:trPr/>
        <w:tc>
          <w:tcPr>
            <w:tcW w:w="437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center"/>
              <w:rPr/>
            </w:pPr>
            <w:hyperlink w:anchor="a_002">
              <w:r>
                <w:rPr>
                  <w:rStyle w:val="InternetLink"/>
                  <w:rFonts w:ascii="Times New Roman;Times;Serif" w:hAnsi="Times New Roman;Times;Serif"/>
                  <w:b w:val="false"/>
                  <w:i w:val="false"/>
                  <w:caps w:val="false"/>
                  <w:smallCaps w:val="false"/>
                  <w:sz w:val="20"/>
                </w:rPr>
                <w:t>1</w:t>
              </w:r>
            </w:hyperlink>
          </w:p>
        </w:tc>
      </w:tr>
      <w:tr>
        <w:trPr/>
        <w:tc>
          <w:tcPr>
            <w:tcW w:w="43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The Offering</w:t>
              </w:r>
            </w:hyperlink>
          </w:p>
        </w:tc>
        <w:tc>
          <w:tcPr>
            <w:tcW w:w="245" w:type="dxa"/>
            <w:tcBorders/>
            <w:shd w:fill="CCEEFF" w:val="clear"/>
            <w:vAlign w:val="center"/>
          </w:tcPr>
          <w:p>
            <w:pPr>
              <w:pStyle w:val="TableContents"/>
              <w:bidi w:val="0"/>
              <w:spacing w:before="0" w:after="283"/>
              <w:jc w:val="center"/>
              <w:rPr/>
            </w:pPr>
            <w:hyperlink w:anchor="a_003">
              <w:r>
                <w:rPr>
                  <w:rStyle w:val="InternetLink"/>
                  <w:rFonts w:ascii="Times New Roman;Times;Serif" w:hAnsi="Times New Roman;Times;Serif"/>
                  <w:b w:val="false"/>
                  <w:i w:val="false"/>
                  <w:caps w:val="false"/>
                  <w:smallCaps w:val="false"/>
                  <w:sz w:val="20"/>
                </w:rPr>
                <w:t>3</w:t>
              </w:r>
            </w:hyperlink>
          </w:p>
        </w:tc>
      </w:tr>
      <w:tr>
        <w:trPr/>
        <w:tc>
          <w:tcPr>
            <w:tcW w:w="437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center"/>
              <w:rPr/>
            </w:pPr>
            <w:hyperlink w:anchor="a_004">
              <w:r>
                <w:rPr>
                  <w:rStyle w:val="InternetLink"/>
                  <w:rFonts w:ascii="Times New Roman;Times;Serif" w:hAnsi="Times New Roman;Times;Serif"/>
                  <w:b w:val="false"/>
                  <w:i w:val="false"/>
                  <w:caps w:val="false"/>
                  <w:smallCaps w:val="false"/>
                  <w:sz w:val="20"/>
                </w:rPr>
                <w:t>5</w:t>
              </w:r>
            </w:hyperlink>
          </w:p>
        </w:tc>
      </w:tr>
      <w:tr>
        <w:trPr/>
        <w:tc>
          <w:tcPr>
            <w:tcW w:w="43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CCEEFF" w:val="clear"/>
            <w:vAlign w:val="center"/>
          </w:tcPr>
          <w:p>
            <w:pPr>
              <w:pStyle w:val="TableContents"/>
              <w:bidi w:val="0"/>
              <w:spacing w:before="0" w:after="283"/>
              <w:jc w:val="center"/>
              <w:rPr/>
            </w:pPr>
            <w:hyperlink w:anchor="a_005">
              <w:r>
                <w:rPr>
                  <w:rStyle w:val="InternetLink"/>
                  <w:rFonts w:ascii="Times New Roman;Times;Serif" w:hAnsi="Times New Roman;Times;Serif"/>
                  <w:b w:val="false"/>
                  <w:i w:val="false"/>
                  <w:caps w:val="false"/>
                  <w:smallCaps w:val="false"/>
                  <w:sz w:val="20"/>
                </w:rPr>
                <w:t>8</w:t>
              </w:r>
            </w:hyperlink>
          </w:p>
        </w:tc>
      </w:tr>
      <w:tr>
        <w:trPr/>
        <w:tc>
          <w:tcPr>
            <w:tcW w:w="437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center"/>
              <w:rPr/>
            </w:pPr>
            <w:hyperlink w:anchor="a_006">
              <w:r>
                <w:rPr>
                  <w:rStyle w:val="InternetLink"/>
                  <w:rFonts w:ascii="Times New Roman;Times;Serif" w:hAnsi="Times New Roman;Times;Serif"/>
                  <w:b w:val="false"/>
                  <w:i w:val="false"/>
                  <w:caps w:val="false"/>
                  <w:smallCaps w:val="false"/>
                  <w:sz w:val="20"/>
                </w:rPr>
                <w:t>9</w:t>
              </w:r>
            </w:hyperlink>
          </w:p>
        </w:tc>
      </w:tr>
      <w:tr>
        <w:trPr/>
        <w:tc>
          <w:tcPr>
            <w:tcW w:w="43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The Private Placement</w:t>
              </w:r>
            </w:hyperlink>
          </w:p>
        </w:tc>
        <w:tc>
          <w:tcPr>
            <w:tcW w:w="245" w:type="dxa"/>
            <w:tcBorders/>
            <w:shd w:fill="CCEEFF" w:val="clear"/>
            <w:vAlign w:val="center"/>
          </w:tcPr>
          <w:p>
            <w:pPr>
              <w:pStyle w:val="TableContents"/>
              <w:bidi w:val="0"/>
              <w:spacing w:before="0" w:after="283"/>
              <w:jc w:val="center"/>
              <w:rPr/>
            </w:pPr>
            <w:hyperlink w:anchor="a_007">
              <w:r>
                <w:rPr>
                  <w:rStyle w:val="InternetLink"/>
                  <w:rFonts w:ascii="Times New Roman;Times;Serif" w:hAnsi="Times New Roman;Times;Serif"/>
                  <w:b w:val="false"/>
                  <w:i w:val="false"/>
                  <w:caps w:val="false"/>
                  <w:smallCaps w:val="false"/>
                  <w:sz w:val="20"/>
                </w:rPr>
                <w:t>10</w:t>
              </w:r>
            </w:hyperlink>
          </w:p>
        </w:tc>
      </w:tr>
      <w:tr>
        <w:trPr/>
        <w:tc>
          <w:tcPr>
            <w:tcW w:w="437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Selling Shareholders</w:t>
              </w:r>
            </w:hyperlink>
          </w:p>
        </w:tc>
        <w:tc>
          <w:tcPr>
            <w:tcW w:w="245" w:type="dxa"/>
            <w:tcBorders/>
            <w:shd w:fill="FFFFFF" w:val="clear"/>
            <w:vAlign w:val="center"/>
          </w:tcPr>
          <w:p>
            <w:pPr>
              <w:pStyle w:val="TableContents"/>
              <w:bidi w:val="0"/>
              <w:spacing w:before="0" w:after="283"/>
              <w:jc w:val="center"/>
              <w:rPr/>
            </w:pPr>
            <w:hyperlink w:anchor="a_008">
              <w:r>
                <w:rPr>
                  <w:rStyle w:val="InternetLink"/>
                  <w:rFonts w:ascii="Times New Roman;Times;Serif" w:hAnsi="Times New Roman;Times;Serif"/>
                  <w:b w:val="false"/>
                  <w:i w:val="false"/>
                  <w:caps w:val="false"/>
                  <w:smallCaps w:val="false"/>
                  <w:sz w:val="20"/>
                </w:rPr>
                <w:t>13</w:t>
              </w:r>
            </w:hyperlink>
          </w:p>
        </w:tc>
      </w:tr>
      <w:tr>
        <w:trPr/>
        <w:tc>
          <w:tcPr>
            <w:tcW w:w="43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center"/>
              <w:rPr/>
            </w:pPr>
            <w:hyperlink w:anchor="a_009">
              <w:r>
                <w:rPr>
                  <w:rStyle w:val="InternetLink"/>
                  <w:rFonts w:ascii="Times New Roman;Times;Serif" w:hAnsi="Times New Roman;Times;Serif"/>
                  <w:b w:val="false"/>
                  <w:i w:val="false"/>
                  <w:caps w:val="false"/>
                  <w:smallCaps w:val="false"/>
                  <w:sz w:val="20"/>
                </w:rPr>
                <w:t>20</w:t>
              </w:r>
            </w:hyperlink>
          </w:p>
        </w:tc>
      </w:tr>
      <w:tr>
        <w:trPr/>
        <w:tc>
          <w:tcPr>
            <w:tcW w:w="437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center"/>
              <w:rPr/>
            </w:pPr>
            <w:hyperlink w:anchor="a_010">
              <w:r>
                <w:rPr>
                  <w:rStyle w:val="InternetLink"/>
                  <w:rFonts w:ascii="Times New Roman;Times;Serif" w:hAnsi="Times New Roman;Times;Serif"/>
                  <w:b w:val="false"/>
                  <w:i w:val="false"/>
                  <w:caps w:val="false"/>
                  <w:smallCaps w:val="false"/>
                  <w:sz w:val="20"/>
                </w:rPr>
                <w:t>22</w:t>
              </w:r>
            </w:hyperlink>
          </w:p>
        </w:tc>
      </w:tr>
      <w:tr>
        <w:trPr/>
        <w:tc>
          <w:tcPr>
            <w:tcW w:w="437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center"/>
              <w:rPr/>
            </w:pPr>
            <w:hyperlink w:anchor="a_011">
              <w:r>
                <w:rPr>
                  <w:rStyle w:val="InternetLink"/>
                  <w:rFonts w:ascii="Times New Roman;Times;Serif" w:hAnsi="Times New Roman;Times;Serif"/>
                  <w:b w:val="false"/>
                  <w:i w:val="false"/>
                  <w:caps w:val="false"/>
                  <w:smallCaps w:val="false"/>
                  <w:sz w:val="20"/>
                </w:rPr>
                <w:t>22</w:t>
              </w:r>
            </w:hyperlink>
          </w:p>
        </w:tc>
      </w:tr>
      <w:tr>
        <w:trPr/>
        <w:tc>
          <w:tcPr>
            <w:tcW w:w="437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FFFFFF" w:val="clear"/>
            <w:vAlign w:val="center"/>
          </w:tcPr>
          <w:p>
            <w:pPr>
              <w:pStyle w:val="TableContents"/>
              <w:bidi w:val="0"/>
              <w:spacing w:before="0" w:after="283"/>
              <w:jc w:val="center"/>
              <w:rPr/>
            </w:pPr>
            <w:hyperlink w:anchor="a_012">
              <w:r>
                <w:rPr>
                  <w:rStyle w:val="InternetLink"/>
                  <w:rFonts w:ascii="Times New Roman;Times;Serif" w:hAnsi="Times New Roman;Times;Serif"/>
                  <w:b w:val="false"/>
                  <w:i w:val="false"/>
                  <w:caps w:val="false"/>
                  <w:smallCaps w:val="false"/>
                  <w:sz w:val="20"/>
                </w:rPr>
                <w:t>23</w:t>
              </w:r>
            </w:hyperlink>
          </w:p>
        </w:tc>
      </w:tr>
      <w:tr>
        <w:trPr/>
        <w:tc>
          <w:tcPr>
            <w:tcW w:w="437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CCEEFF" w:val="clear"/>
            <w:vAlign w:val="center"/>
          </w:tcPr>
          <w:p>
            <w:pPr>
              <w:pStyle w:val="TableContents"/>
              <w:bidi w:val="0"/>
              <w:spacing w:before="0" w:after="283"/>
              <w:jc w:val="center"/>
              <w:rPr/>
            </w:pPr>
            <w:hyperlink w:anchor="a_013">
              <w:r>
                <w:rPr>
                  <w:rStyle w:val="InternetLink"/>
                  <w:rFonts w:ascii="Times New Roman;Times;Serif" w:hAnsi="Times New Roman;Times;Serif"/>
                  <w:b w:val="false"/>
                  <w:i w:val="false"/>
                  <w:caps w:val="false"/>
                  <w:smallCaps w:val="false"/>
                  <w:sz w:val="20"/>
                </w:rPr>
                <w:t>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registration statement containing this prospectus, including the exhibits to the registration statement, provides additional information about us and the ADSs offered under this prospectus. The registration statement, including the exhibits, can be read on our website and the website of the Securities and Exchange Commission. See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Information contained in, and that can be accessed through, our web site, </w:t>
      </w:r>
      <w:r>
        <w:rPr>
          <w:rFonts w:ascii="Times New Roman;Times;Serif" w:hAnsi="Times New Roman;Times;Serif"/>
          <w:b w:val="false"/>
          <w:i/>
          <w:caps w:val="false"/>
          <w:smallCaps w:val="false"/>
          <w:sz w:val="20"/>
        </w:rPr>
        <w:t>www.quoinpharma.com</w:t>
      </w:r>
      <w:r>
        <w:rPr>
          <w:rFonts w:ascii="Times New Roman;Times;Serif" w:hAnsi="Times New Roman;Times;Serif"/>
          <w:b w:val="false"/>
          <w:i w:val="false"/>
          <w:caps w:val="false"/>
          <w:smallCaps w:val="false"/>
          <w:sz w:val="20"/>
        </w:rPr>
        <w:t>, shall not be deemed to be part of this prospectus or incorporated herein by reference and should not be relied upon by any prospective investors for the purposes of determining whether to purchase the ADSs offered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in this prospectus to the terms “Quoin,” “Quoin Ltd.,” the “Company,” “us,” “we”, “our” and the “Registrant” refer to Quoin Pharmaceuticals Ltd., an Israeli company, and its consolidated subsidiaries, and “this offering” refers to the offering contemplated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Under this registration process, the Selling Shareholders may, from time to time, sell the securities offered by them described in this prospectus. We will not receive any proceeds from the sale by the Selling Shareholders of the ADSs offered by them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ADSs the Selling Shareholders may offer. A prospectus supplement may also add, update or change information contained in this prospectus. To the extent that any statement made in an accompanying prospectus supplement is inconsistent with statements made in this prospectus, the statements made in this prospectus will be deemed modified or superseded by those made in the accompanying prospectus supplement. You should read both this prospectus and any accompanying prospectus supplement together with the additional information described under the headings “Where You Can Find More Information” and “Incorporation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anyone to provide you with any information or to make any representations other than those contained, or incorporated by reference, in this prospectus, any post-effective amendment, or any applicable prospectus supplement or free-writing prospectus prepared by or on behalf of us or to which we have referred you. We and the Selling Shareholders take no responsibility for and can provide no assurance as to the reliability of any other information that others may give you. This prospectus is an offer to sell only the ADSs offered hereby, but only under circumstances and in jurisdictions where it is lawful to do so. You should not assume that the information contained in this prospectus or any applicable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or any applicable prospectus supplement is delivered, or securities are sold, on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5" w:color="000000"/>
        </w:rPr>
      </w:pPr>
      <w:bookmarkStart w:id="3" w:name="a_002"/>
      <w:bookmarkEnd w:id="3"/>
      <w:r>
        <w:rPr>
          <w:rFonts w:ascii="Times New Roman;Times;Serif" w:hAnsi="Times New Roman;Times;Serif"/>
          <w:b/>
          <w:i w:val="false"/>
          <w:caps/>
          <w:sz w:val="20"/>
          <w:bdr w:val="single" w:sz="8" w:space="5" w:color="000000"/>
        </w:rPr>
        <w:t>Prospectus Summary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This summary contains basic information about us and this offering. Because it is a summary, it does not contain all of the information that you should consider before deciding to invest in our securities. Before you decide to invest in our securities, you should read this entire prospectus carefully, any related free writing prospectus that we have authorized for use in connection with the offering and the documents incorporated by reference herein, including the information included under the heading titled “Risk Factors.”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Overview</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late-stage clinical specialty pharmaceutical company focused on the development and commercialization of therapeutic products that treat rare and orphan diseases for which there are currently either no approved or very limited treatments or cures. Our lead product, QRX003, is under clinical development as a potential treatment for Netherton Syndrome, a rare hereditary genetic disease. QRX003 is entering pivotal registrational clinical testing under an open IND application with the FDA. We have opened six clinical sites in the U.S. and three in the UK along with international sites that we may potentially open in Spain, France and the Netherlands. QRX003 is currently being tested in eight pediatric NS patients in a Compassionate Use program in Ireland, Austria, the Netherlands and New Zealand and an additional three pediatric patients are expected to be enrolled this year. QRX003 is also being developed as a potential treatment for Peeling Skin Syndrome. We submitted an IND application for QRX003 in Peeling Skin Syndrome in the second quarter of 2026, which was cleared by the FDA on July 9, 2026 and plan to initiate a Phase 2/3 study in the second half of 2026. QRX003 has received Rare Pediatric Disease Designation in the US for both Netherton Syndrome and Peeling Skin Syndrome. We have also entered into 9 commercial partnerships for QRX003 spanning 61 countries outside of our core commercial territories of the U.S., Western Europe and Japan. These partnership countries include Canada, Australia, New Zealand, the Middle East, China, Taiwan, Hong Kong, Singapore, Israel, Central and Eastern Europe, Turkey as well as several countries in Latin America. We entered into a Research Agreement with QUT, under which we have obtained an option for a global license to QRX008 for the potential treatment of scleroderma, as well as a Research Agreement with UCC for the development of novel topical formulations of rapamycin (sirolimus), QRX009, as potential treatments for a number of rare and orphan diseases for which there are either limited or no approved therapies or cures, including Pachyonychia Congenita, Gorlin Syndrome, Tuberous Sclerosis Complex, microcystic lymphatic malformations, venous malformations and angiofibromas, as well as other indications that the Company is assessing. We are planning to initiate investigator-led clinical studies in Pachyonychia Congenita, Gorlin Syndrome and Tuberous Sclerosis Complex.</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mission is to develop and commercialize proprietary therapeutic drug products that treat rare and orphan diseases, particularly for those diseases where no approved treatment currently exists. To achieve this, we plan to:</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complete the late-stage clinical testing of QRX003 in NS and, if successful, file for marketing approval in the United States, Europe, Japan and the other territories for which we have commercial agreements in place;</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prepare to commercialize QRX003 by (i) establishing our own sales infrastructure in the U.S., Europe, and Japan and (ii) work with our distribution partners to commercialize the product in Canada, Australia/New Zealand, the Middle East, China, Hong Kong, Taiwan, Latin America, Central and Eastern Europe, Turkey and Singapore;</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 the development of QRX003 for Peeling Skin Syndrome and related rare, genetic skin diseases;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commence clinical testing of topical rapamycin, QRX009, in the selected indications; and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pursue business development activities by seeking partnering, licensing, merger and acquisition opportunities or other transactions to further expand our pipeline and drug-development capabilities.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To date, no products have been commercialized and no revenue has been generated. We do not expect to generate revenue from product sales unless and until we successfully complete development and obtain marketing approval for one or more of our product candidates, which we expect will take a number of years and is subject to significant uncertainty.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Smaller Reporting Company</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“smaller reporting company” as defined in the Securities Exchange Act of 1934, as amended (the “Exchange Act”). As a result, we may take advantage of certain reduced disclosure obligations available to smaller reporting companies, including the exemption from compliance with the auditor attestation requirements pursuant to the Sarbanes-Oxley Act of 2002, reduced disclosure about our executive compensation arrangements and the requirements to provide only two years of audited financial statements in our annual reports and registration statements. We will continue to be a “smaller reporting company” as long as (1) the market value of our ADSs held by non-affiliates is less than $250 million calculated as of the last business 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SEC filings due to our status as a “smaller reporting company” may make it harder for investors to analyze our results of operations and financial prospects.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Company Information</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under the laws of the State of Israel in 1986 under the name Montiger Ltd. Between 1986 and 2021, we underwent several name changes, including the name change to Cellect Biotechnology Ltd. (“Cellect”). On October 28, 2021, Cellect completed the business combination with Quoin Pharmaceuticals, Inc., a Delaware corporation (“Quoin Inc.”), in accordance with the terms of the Agreement and Plan of Merger and Reorganization, dated as of March 24, 2021, by and among Cellect, Quoin Inc. and CellMSC, Inc., a Delaware corporation and wholly-owned subsidiary of Cellect (“Merger Sub”), pursuant to which Merger Sub merged with and into Quoin Inc., with Quoin Inc. surviving as a wholly-owned subsidiary of Cellect (the “Merger”). Immediately after completion of the Merger, Cellect changed its name to “Quoin Pharmaceuticals Ltd.”</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Prior to January 1, 2023, we qualified as a “foreign private issuer” as such term is defined in Rule 405 under the Securities Act. Since January 1, 2023, we have been obligated to file or furnish reports, proxy statements, and other information on U.S. domestic issuer forms with the SEC, which are more detailed and extensive in certain respects, and which must be filed more promptly, than the forms available to a foreign private issuer.</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The address of our executive corporate offices is 42127 Pleasant Forest Ct., Ashburn, VA 20148, and our telephone number is (703) 980-4182. Our website is </w:t>
      </w:r>
      <w:r>
        <w:rPr>
          <w:rFonts w:ascii="Times New Roman;Times;Serif" w:hAnsi="Times New Roman;Times;Serif"/>
          <w:b w:val="false"/>
          <w:i/>
          <w:caps w:val="false"/>
          <w:smallCaps w:val="false"/>
          <w:sz w:val="20"/>
          <w:bdr w:val="single" w:sz="8" w:space="5" w:color="000000"/>
        </w:rPr>
        <w:t>www.quoinpharma.com</w:t>
      </w:r>
      <w:r>
        <w:rPr>
          <w:rFonts w:ascii="Times New Roman;Times;Serif" w:hAnsi="Times New Roman;Times;Serif"/>
          <w:b w:val="false"/>
          <w:i w:val="false"/>
          <w:caps w:val="false"/>
          <w:smallCaps w:val="false"/>
          <w:sz w:val="20"/>
          <w:bdr w:val="single" w:sz="8" w:space="5" w:color="000000"/>
        </w:rPr>
        <w:t>. Information contained on or accessible through this website is not incorporated by reference in, or otherwise a part of, this prospectus, and any references to this website are intended to be inactive textual references only.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bdr w:val="single" w:sz="8" w:space="5" w:color="000000"/>
        </w:rPr>
      </w:pPr>
      <w:bookmarkStart w:id="4" w:name="a_003"/>
      <w:bookmarkEnd w:id="4"/>
      <w:r>
        <w:rPr>
          <w:rFonts w:ascii="Times New Roman;Times;Serif" w:hAnsi="Times New Roman;Times;Serif"/>
          <w:b/>
          <w:i w:val="false"/>
          <w:caps/>
          <w:sz w:val="20"/>
          <w:bdr w:val="single" w:sz="8" w:space="5" w:color="000000"/>
        </w:rPr>
        <w:t>The Offering</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This prospectus relates to the resale or other disposition from time to time by the Selling Shareholders identified in this prospectus of up to 9,371,895 ADSs. None of the ADSs registered for resale hereby are being offered for sale by us.</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75"/>
        <w:gridCol w:w="60"/>
        <w:gridCol w:w="8870"/>
      </w:tblGrid>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ADSs offered by the Selling Shareholders</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9,371,895 ADSs, consisting of: (i) 2,445,800 Offered ADSs issued pursuant to the Purchase Agreement, (ii) 3,802,130 Pre-Funded ADSs issued or issuable upon the exercise of the Pre-Funded Warrants, and (iii) 3,123,965 Ordinary Warrant ADSs issuable upon the exercise of Ordinary Warrants (or upon the exercise of Exchange Warrants initially issued upon the exercise of the Ordinary Warrants).</w:t>
            </w:r>
          </w:p>
        </w:tc>
      </w:tr>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ADSs outstanding prior to this offering</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4,804,161 ADSs (including the Offered ADSs)</w:t>
            </w:r>
          </w:p>
        </w:tc>
      </w:tr>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ADSs to be outstanding after this offering</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11,730,256 ADSs, assuming the exercise in full for cash of all Pre-Funded Warrants and Ordinary Warrants</w:t>
            </w:r>
          </w:p>
        </w:tc>
      </w:tr>
      <w:tr>
        <w:trPr/>
        <w:tc>
          <w:tcPr>
            <w:tcW w:w="1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of the ADSs</w:t>
            </w:r>
          </w:p>
        </w:tc>
        <w:tc>
          <w:tcPr>
            <w:tcW w:w="60" w:type="dxa"/>
            <w:tcBorders/>
            <w:vAlign w:val="center"/>
          </w:tcPr>
          <w:p>
            <w:pPr>
              <w:pStyle w:val="TableContents"/>
              <w:bidi w:val="0"/>
              <w:spacing w:before="0" w:after="283"/>
              <w:jc w:val="both"/>
              <w:rPr/>
            </w:pPr>
            <w:r>
              <w:rPr/>
              <w:t> </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terms of the Registration Rights Agreement, we agreed to file a registration statement (the “Initial Registration Statement”) with the SEC registering the resale of the Offered ADSs, the Pre-Funded ADSs, and the Ordinary Warrant ADSs (collectively, the “Resale ADSs”) no later than 30 days after the Closing Date, to use commercially reasonable efforts to have the registration statement declared effective at the earliest possible date but no later than the earlier of (a) the 60th calendar day following the initial filing date of the Initial Registration Statement if the SEC notifies us that it will review the Initial Registration Statement, and (b) the fifth business day after the date we are notified (orally or in writing, whichever is earlier) by the SEC that the Initial Registration Statement will not be “reviewed” or will not be subject to further review. The Registration Rights Agreement further provides that we shall use commercially reasonable efforts to keep such registration statement continuously effective and available for resale of the Offered ADSs, the Pre-Funded ADSs, and the Ordinary Warrant ADSs until the earlier of (i) the date on which the Selling Shareholders shall have resold all such ADSs, and (ii) the date on which such securities may be resold by the Selling Shareholders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The registration statement on Form S-3, of which this prospectus forms a part, is being filed to satisfy the requirement to register for resale the Resale ADSs.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22"/>
        <w:gridCol w:w="60"/>
        <w:gridCol w:w="8923"/>
      </w:tblGrid>
      <w:tr>
        <w:trPr/>
        <w:tc>
          <w:tcPr>
            <w:tcW w:w="12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Shareholders will receive all of the proceeds from the sale of the ADSs sold by them pursuant to this prospectus. We will not receive any proceeds from the sale of ADSs by the Selling Shareholders. However, we could receive up to $19.1 million, less placement agent fees,  if all of the Ordinary Warrants issued to the Selling Shareholders in the Private Placement are exercised for cash. See “Use of Proceeds.”</w:t>
            </w:r>
          </w:p>
        </w:tc>
      </w:tr>
      <w:tr>
        <w:trPr/>
        <w:tc>
          <w:tcPr>
            <w:tcW w:w="12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Plan of Distribution</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Shareholders named in this prospectus, or their pledgees, assignees and successors-in-interest, may offer or sell the ADSs offered hereby from time to time through public or private transactions at prevailing market prices, at prices related to prevailing market prices or at privately negotiated prices. The Selling Shareholders may also resell the ADSs to or through underwriters, broker-dealers or agents, who may receive compensation in the form of discounts, concessions or commissions. See “Plan of Distribution.”</w:t>
            </w:r>
          </w:p>
        </w:tc>
      </w:tr>
      <w:tr>
        <w:trPr/>
        <w:tc>
          <w:tcPr>
            <w:tcW w:w="12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“Risk Factors” beginning on page 5 of this prospectus and in the documents incorporated by reference in this prospectus and the other information included in this prospectus for a discussion of factors you should carefully consider before investing in our securities.</w:t>
            </w:r>
          </w:p>
        </w:tc>
      </w:tr>
      <w:tr>
        <w:trPr/>
        <w:tc>
          <w:tcPr>
            <w:tcW w:w="122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Nasdaq Capital Market</w:t>
              <w:br/>
              <w:t>trading symbol</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ADSs are listed on Nasdaq under the symbol “QNRX.”</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information above is based on 168,145,635 Ordinary Shares represented by 4,804,161 ADSs outstanding as of September 16, 2026, with each ADS representing 35 Ordinary Shares, and excludes the following:</w:t>
      </w:r>
    </w:p>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36,071,630 Ordinary Shares represented by 1,030,618 ADSs issuable upon the exercise of outstanding options, which have a weighted-average exercise price $14.79 per ADS;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26,407,430 Ordinary Shares represented by 754,498 ADSs issuable upon the exercise of outstanding pre-funded warrants, which have an exercise price of $0.0001 per ADS;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310,951,297 Ordinary Shares represented by 8,884,323 ADSs issuable upon the exercise of outstanding warrants, which have a weighted-average exercise price of $12.04 per ADS;</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1,003,975 Ordinary Shares represented by 28,685 ADS issuable upon the exercise of outstanding Ordinary Warrants issued in the Private Placement to the Insider Participants (as defined below); and</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36,716,788 Ordinary Shares represented by 1,049,051 ADSs reserved for future issuance under our 2025 Equity Incentive Plan.</w:t>
            </w:r>
          </w:p>
        </w:tc>
      </w:tr>
    </w:tbl>
    <w:p>
      <w:pPr>
        <w:pStyle w:val="TextBody"/>
        <w:bidi w:val="0"/>
        <w:spacing w:before="0" w:after="0"/>
        <w:ind w:left="0" w:right="0" w:hanging="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Unless otherwise indicated, all information contained in this prospectus assumes no exercise of the outstanding options or warrants described in the bullets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ADSs involves a high degree of risk. Before deciding whether to invest in our ADSs, you should consider carefully the risks and uncertainties described below, together with all of the other information included or incorporated by reference in this prospectus, including the risks and uncertainties discussed under “Risk Factors” in our most recent Annual Report on Form 10-K and our subsequent Quarterly Reports on Form 10-Q, which are incorporated by reference in this prospectus, as well as any updates thereto contained in subsequent filings with the SEC, before deciding whether to purchase our ADSs in this offering. All of these risk factors are incorporated herein in their entirety. The risks described below and incorporated by reference are material risks currently known, expected or reasonably foreseeable by us. However, the risks described below and incorporated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ADSs to decline, resulting in a loss of all or part of your investment. For more information, see the section entitled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ADSs in the public market could adversely affect the prevailing market price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up to 9,371,895 ADSs, which is a significant number of ADSs compared to the current number of ADSs in the public market. Sales of substantial amounts of ADSs in the public market, or the perception that such sales might occur, could adversely affect the market price of our ADSs. We cannot predict if and when the Selling Shareholders may sell such ADSs in the public markets. Furthermore, in the future, we may issue additional ADSs or other equity or debt securities exercisable or convertible into ADSs. Any such issuance could result in substantial dilution to our existing shareholders and could cause the market price of our securities to decline.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the ADSs covered by this prospectus could significantly increase the total number of ADSs in the public market and thereby cause our existing shareholders to experience substantial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16, 2026, there were 4,804,161 ADSs outstanding (including the Offered ADSs). The number of ADSs covered by this prospectus and not currently outstanding (which consists of 3,802,130 Pre-Funded ADSs and 3,123,965 Ordinary Warrant ADSs) represents approximately 144.2% of the number of ADSs outstanding as of the date of this prospectus. As a result, if we issue the maximum number of ADSs that are being registered hereunder, an existing shareholder’s proportionate interest in us will be substantially diluted. The actual number of ADSs that we issue to the Selling Shareholders may be less than the aggregate number of ADSs covered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ADSs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ADSs in this offering at different times will likely pay different prices, and so may experience different levels of dilution and different outcomes in their investment results. The Selling Shareholders may sell such ADSs at different times and at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additional securities available for issuance, which, if issued, could adversely affect the rights of the holders of our ADSs.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time-to-time issue additional ADSs. In addition, as opportunities present themselves, we may enter into financing or similar arrangements in the future, including the issuance of debt securities or ADSs. Any future issuances of ADSs or securities convertible into ADSs would further dilute the percentage ownership of us held by holders of ADSs. In addition, the issuance of certain securities may be used as an “anti-takeover” device without further action on the part of our shareholders, and may adversely affect the holders of our ADSs. Pursuant to the Purchase Agreement, we have agreed to hold a meeting of shareholders within 90 days after the closing of the Private Placement for the purpose of seeking shareholder approval to amend any limitation on ownership of Ordinary Shares (including Ordinary Shares represented by ADSs) imposed on (a) the Purchasers and (b) the investors in the Company’s October 2025 private placement, in each case so that such limitation (including, without limitation, any beneficial ownership limitation and any corresponding limitation on voting power) is increased from 4.99% to 9.99% of the number of Ordinary Shares (including Ordinary Shares represented by ADSs) outstanding immediately after giving effect to the issuance of the applicable securities, both for purposes of Section 13(d) of the Exchange Act and for purposes of Section 270(5) under the Companies Law. If shareholder approval is obtained, and holders elect to increase their 4.99% limitations to up to 9.99%, such holders could accumulate and retain a significantly larger percentage of our outstanding Ordinary Shares and voting power, which could result in a greater concentration of voting power among a smaller number of holders and reduce the ability of other shareholders to influence corporate decisions. We have not paid, and do not intend to pay, dividends on our Ordinary Shares and, therefore, unless our traded securities appreciate in value, our investors may not benefit from holding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Ordinary Shares, and we do not anticipate paying any cash dividends on our Ordinary Shares in the foreseeable future. Moreover, the Israeli Companies Law, 5759-1999 (the “Companies Law”) imposes certain restrictions on our ability to declare and pay dividends. As a result, investors in our ADSs or Ordinary Shares will not be able to benefit from owning these securities unless their market price becomes greater than the price paid by such investors and they are able to sell such securities. We cannot assure you that shareholders will ever be able to resell our securities at a price in excess of the price paid.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Purchase Agreement, we are subject to certain restrictive covenants that may make it difficult to procure additional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among others, various restrictive covenants which may make it difficult for us to procure financing. Pursuant to the Purchase Agreement, we agreed, subject to certain exceptions, to not enter into any equity financings until the later of (a) 90 days after the Closing Date and (b) the business day immediately following the effective date of the registration statement filed pursuant to the Registration Rights Agreement. If we require additional funding while these restrictive covenants remain in effect, we may be unable to effect a financing transaction on terms acceptable to us, or at all, while also remaining in compliance with the terms of the Purchase Agreement, or we may be forced to seek a waiver from the Purchasers, which such Purchasers are not obligated to grant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need for future financing may result in the issuance of additional securities that will cause investors to experience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may vary from those now planned depending upon numerous factors. We expect to require additional capital until our operations generate sufficient revenue to cover our expenses. Accordingly, we will need to obtain additional funding in connection with our continuing operations. The issuance of securities in any future financing may dilute an investor’s equity ownership and have the effect of depressing the market price for our securities. Moreover, we may issue derivative securities, including options and/or warrants, from time to time, to procure qualified personnel or for other business reasons. The issuance of any such derivative securities, which is at the discretion of our Board of Directors, may further dilute the equity ownership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forth in the Purchase Agreement, we may sell ADSs or other securities in another offering at a price per ADS that is less than the price per ADS that was paid by Purchasers in this offering, and investors purchasing ADSs or other securities in the future could have rights superior to those of existing shareholders. No assurance can be given as to our ability to procure additional financing, if required, and on terms deemed favorable to us. To the extent additional capital is required and cannot be raised successfully, we may then have to limit our then current operations and/or may have to curtail certain, if not all, of our business objectives and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that involve risks and uncertainties. Our actual results could differ materially from those discussed in the forward-looking statements. The statements contained in this prospectus and the documents incorporated by reference herein that are not purely historical are forward-looking statements within the meaning of Section 27A of the Securities Act and Section 21E of the Exchange Act. Forward-looking statements are often identified by the use of words such as, but not limited to, “anticipate,” “believe,” “can,” “continue,” “could,” “estimate,” “expect,” “intend,” “may,” “plan,” “project,” “seek,” “should,” “strategy,”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this section of the prospectus titled “Risk Factors.” Furthermore, such forward-looking statements speak only as of the date of this prospectus. Except as required by law, we undertake no obligation to update any forward-looking statements to reflect events or circumstances after the date of such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consider our forward-looking statements in light of those risks as you read this prospectus and the documents incorporated by reference herein.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and the documents incorporated by reference herein is accurate as of any date other than as of the date of this prospectus or that any information incorporated by reference into this prospectus is accurate as of any date other than the date of the document so incorporated by reference. Except as required by law, we assume no obligation to update these forward-looking statements publicly, or to update the reasons actual results could differ materially from those anticipated in these forward-looking statements, even if new information becomes available in the future. Thus, you should not assume that our silence over time means that actual events are bearing out as expressed or implied in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or more of these or other risks or uncertainties materializes, or if our underlying assumptions prove to be incorrect, actual results may vary materially from what we anticipate. All subsequent written and oral forward-looking statements attributable to us or individuals acting on our behalf are expressly qualified in their entirety by this Note. Before purchasing any ADSs, you should consider carefully all of the factors set forth or referred to in this prospectus and the documents incorporated by reference that could cause actual results to differ.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ADSs by the Selling Shareholders. Accordingly, we will not receive any proceeds from the sale of the ADSs that may be sold from time to time pursuant to this prospectus. See “Plan of Distribution” elsewhere in this prospectus for more information. We will, however, receive up to an aggregate of approximately $19.1 million in cash, less placement agent fees, from the exercise of the Ordinary Warrants. We intend to use the proceeds for general corporate purposes, which may include operating expenses, research and development, including completion of clinical development of QRX003 for Netherton Syndrome, working capital, future acquisitions and general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summary of the Private Placement transaction and the related agreements. Copies of the related agreements are filed as exhibits to the registration statement of which this prospectus forms a part. You are encouraged to review the full text of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we entered into the Purchase Agreement with the Purchasers for the issuance and sale of securities in the Private Placement for gross proceeds at the Closing Date of approximately $30.8 million. The Purchase Agreement provides for the issuance and sale of (i) Ordinary Shares represented by 2,503,170 Offered ADSs, (ii) Ordinary Shares represented by 3,802,130 Pre-Funded ADSs, together with (iii) Ordinary Warrants to purchase Ordinary Shares represented by up to 3,152,650 Ordinary Warrant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ADSs and accompanying Ordinary Warrants were sold at a combined purchase price of $4.88 (the “Unit Purchase Price”), and the Pre-Funded Warrants and accompanying Ordinary Warrants were sold at a combined purchase price of $4.8799, which equals the Unit Purchase Price less $0.0001, which is in turn equal to the exercise price of each Pre-Funded Warrant. The Unit Purchase Price was equal to the Nasdaq Minimum Price, as defined in Nasdaq Listing Rule 5635(d), plus $0.0625.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directors and officers (the “Insider Participants”) participated in the Private Placement: Dr. Michael Myers, our Chief Executive Officer and a member of our Board of Directors, Denise Carter, our Chief Operating Officer and a member of our Board of Directors; Sally Lawlor, our Chief Financial Officer and James Culverwell, a member of our Board of Directors. The Insider Participants purchased an aggregate of 57,370 Offered ADSs and 28,865 accompanying Ordinary Warrants for a total purchase price of approximately $280,000, at a combined purchase price of $4.88 per Offered ADS and accompanying Ordinary Warrant. The Insider Participants’ purchase price complied with the Nasdaq consolidated closing bid price rule. The Insider Participants’ participation in the Private Placement was approved by both our Audit Committee and our Board of Directors. The Insider Participants are not participating in this offering and are not included as Selling Shareholders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August 31, 2026. We received net proceeds of approximately $29.0 million from the Private Placement on the Closing Date, after deducting estimated offering expenses payable by us, including placement agent fees and expenses. Leerink Partners served as lead placement agent in connection with the Private Placement, and BTIG and Lake Street acted as co-placement agents. We paid to the placement agents (i) placement fees equal in the aggregate to 6.0% of the aggregate gross proceeds of the Private Placement, and (ii) reimbursement for reasonable out-of-pocket expenses. The placement agents are entitled to additional placement fees equal to 6.0% of the cash exercise fees we receive for all cash exercises of the Ordinary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Pre-Funded Warrants or Ordinary Warrants may not exercise any portion of such holder’s Pre-Funded Warrants or Ordinary Warrants for ADSs to the extent that the holder, together with its affiliates, would beneficially own more than 4.99% of the number of Ordinary Shares outstanding immediately after giving effect to the issuance of the Ordinary Shares represented by the ADSs issuable upon exercise of the applicable warrant (the “Beneficial Ownership Limitation”). In addition, a holder of the Pre-Funded Warrants or the Ordinary Warrants may not exercise any portion of such holder’s Pre-Funded Warrants or Ordinary Warrants for ADSs to the extent that the holder, together with its affiliates, would hold more than 4.99% of our voting power (“Voting Limitation”). By written notice to us, a holder of Pre-Funded Warrants or Ordinary Warrants may from time to time increase or decrease the 4.99% limitations to any other percentage not in excess of 9.99% specified in such notice; provided that any increase in such beneficial ownership limitation will not be effective until the 61st day after such notice is delivered to us; provided further, that any such increase will not be effective until after obtaining the shareholder approval described under “Purchase Agreement.” Notwithstanding the foregoing, to the extent that an exercise of Ordinary Warrants would cause a holder, together with its affiliates, to beneficially own in excess of the Beneficial Ownership Limitation, such holder may elect to receive upon exercise of such Ordinary Warrant and payment of the exercise price of the Ordinary Warrant minus $0.0001, pre-funded warrants (the “Exchange Warrants”) to purchase an equal number of Ordinary Shares represented by the ADSs for an exercise price of $0.0001 per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Pre-Funded Warrants. </w:t>
      </w:r>
      <w:r>
        <w:rPr>
          <w:rFonts w:ascii="Times New Roman;Times;Serif" w:hAnsi="Times New Roman;Times;Serif"/>
          <w:b w:val="false"/>
          <w:i w:val="false"/>
          <w:caps w:val="false"/>
          <w:smallCaps w:val="false"/>
          <w:sz w:val="20"/>
        </w:rPr>
        <w:t>The Pre-Funded Warrants have an exercise price of $0.0001 per ADS. The Pre-Funded Warrants are exercisable at any time after their original issuance, subject to the Beneficial Ownership Limitation, and will not expire until exercised in full. In addition, the Pre-Funded Warrants may be exercised, in whole or in part, any time after issuance by means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Ordinary Warrants</w:t>
      </w:r>
      <w:r>
        <w:rPr>
          <w:rFonts w:ascii="Times New Roman;Times;Serif" w:hAnsi="Times New Roman;Times;Serif"/>
          <w:b w:val="false"/>
          <w:i w:val="false"/>
          <w:caps w:val="false"/>
          <w:smallCaps w:val="false"/>
          <w:sz w:val="20"/>
        </w:rPr>
        <w:t>. The Ordinary Warrants are exercisable at any time after their original issuance, subject to the Beneficial Ownership Limitation. The Ordinary Warrants have an exercise price of $6.10 per ADS and may be exercised until the earlier of (i) five years from the Closing Date or (ii) 30 days after our public announcement that the primary endpoint has been met in the clinical trial CL-QRX003-004 for the treatment of Netherton Syndrome.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exercise on a date that is six months after the issuance of the Ordinary Warrants (the “Cashless Exercise Deadline”) there is no effective registration statement registering, or the prospectus contained therein is not available for the resale of, the Ordinary Warrant ADSs, the Ordinary Warrants may be exercised, in whole or in part, at such time by means of a “cashless exercise,” provided that if the SEC is closed for operations due to a government shutdown the Cashless Exercise Deadline shall be extended by the same amount of days that the SEC remains closed for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ADSs issuable upon exercise of the Pre-Funded Warrants and the Ordinary Warrants are subject to appropriate adjustment in the event of stock dividends, stock splits, changes in ADS ratio, reorganizations or similar events affecting our ADSs and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the Pre-Funded Warrants or the Ordinary Warrants and is qualified in its entirety by reference to the full text of such documents, which are filed as exhibits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by us, customary conditions to closing, indemnification obligations of the parties signatory thereto, including for liabilities under the Securities Act, other obligations of the parties and termination provisions. The representations, warranties and covenants contained in the Purchase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terms of the Purchase Agreement, we agreed, subject to certain exceptions, to not enter into any equity financings until the later of (a) 90 days after the Closing Date and (b) the business day immediately following the effective date of the registration statement filed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further provides for us to hold a meeting of shareholders within 90 days after the Closing Date for the purpose of seeking shareholder approval to amend any limitation on ownership of Ordinary Shares (including Ordinary Shares represented by ADSs) imposed on (a) the Purchasers and (b) the investors under that certain Securities Purchase Agreement, dated as of October 10, 2025, by and among us and the investors party thereto (the “October 2025 Purchase Agreement”) in each case so that such limitation (including, without limitation, the Beneficial Ownership Limitation and any corresponding limitation on voting power) is increased from 4.99% to 9.99% of the number of Ordinary Shares (including Ordinary Shares represented by ADSs) outstanding immediately after giving effect to the issuance of the applicable securities, both for purposes of Section 13(d) of the Exchange Act and for purposes of Section 270(5) under the Companies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the Purchase Agreement and is qualified in its entirety by reference to the full text of the form of such document, which is filed as an exhibit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entered into the Registration Rights Agreement, pursuant to which we agreed to prepare and file a registration statement (the “Initial Registration Statement”) with the SEC registering the resale of the Resale ADSs no later than 30 days after the Closing Date, to use our commercially reasonable efforts to have such registration statement declared effective at the earliest possible date but no later than the earlier of (a) the 60th calendar day following the initial filing date of the Initial Registration Statement if the SEC notifies us that it will review the Initial Registration Statement and (b) the fifth Business Day after the date we are notified (orally or in writing, whichever is earlier) by the SEC that the Initial Registration Statement will not be “reviewed” or will not be subject to further review. The Registration Rights Agreement further provides that we shall use commercially reasonable efforts to keep such registration statement continuously effective and available for resale of the Offered ADSs, the Pre-Funded Warrant ADSs, and the Ordinary Warrant ADSs until the earlier of (i) the date on which the Purchasers shall have resold all such ADSs, and (ii) the date on which such securities may be resold by the Purchasers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description of the Registration Rights Agreement and is qualified in its entirety by reference to the full text of the form of such document, which is filed as an exhibit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each of our directors and officers entered into a lock-up agreement (each a “Lock-Up Agreement” and collectively, the “Lock-Up Agreements”) dated August 20, 2026. Under the Lock-Up Agreements, our directors and officers agreed not to take any of the following actions without Leerink Partners’ prior written consent for a period ending on the date that is the later of (a) 90 days after the Closing Date and (b) the effective date of the Initial Registration Statement (the “Lock-Up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offer, pledge, sell, contract to sell, sell any option or contract to purchase, purchase any option or contract to sell, grant any option, right or warrant for the sale of, or otherwise dispose of or transfer any ADSs or Ordinary Shares or any securities convertible into or exchangeable or exercisable for ADSs or Ordinary Shares,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enter into any swap or any other agreement or any transaction that transfers, in whole or in part, directly or indirectly, the economic consequence of ownership of the Lock-Up Securities, whether any such swap or transaction is to be settled by delivery of ADSs or Ordinary Shares or other securities, in cash or otherwise.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limitations, our securities may be transferred under limited circumstances, including, without limitation, by gift, will or intestate succession.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being offered by the Selling Shareholders are those Offered ADSs issued to the Selling Shareholders in the Private Placement and those ADSs issued or issuable to the Selling Shareholders upon exercise of the Pre-Funded Warrants or the Ordinary Warrants issued to the Selling Shareholders in the Private Placement. For additional information regarding the issuances of the Offered ADSs, the Pre-Funded Warrants and the Ordinary Warrants, see “The Private Placement.” We are registering the ADSs in order to permit the Selling Shareholders to offer the ADSs for resale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we completed a private placement transaction with several institutional and accredited investors relating to the issuance and sale in a private placement transaction (the “October 2025 Private Placement”) of (i) 15,152 ADSs and (ii) pre-funded warrants to purchase 1,993,939 ADSs, together with (A) Series H Warrants to purchase up to 2,009,091 ADSs (“Series H Warrants”), (B) Series I Warrants to purchase up to 2,009,091 ADSs (“Series I Warrants”), (C) Series J Warrants to purchase up to 2,009,091 ADSs (“Series J Warrants”), and (D) Series K Warrants to purchase up to 2,009,091 ADSs (“Series K Warrants” and, together with the Series H Warrants, Series I Warrants, and Series J Warrants, the “October 2025 Ordinary Warrants”). The October pre-funded warrants and the October 2025 Ordinary Warrants contain beneficial ownership and voting limitations similar to the Pre-Funded Warrants and Ordinary Warrants issued in the Private Placement. As noted in the footnotes below, a number of the Selling Shareholders participated in our October 2025 Private Placement. Other than the Selling Shareholders who participated in our October 2025 Private Placement, none of the other Selling Shareholders, nor any person having control over the Selling Shareholders, has held any position or office with us or our affiliates within the last three years or have had a material relationship with us or any of our predecessors or affiliates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identified below may have sold, transferred or otherwise disposed of some or all of their ADSs since the date on which the information in the following table is presented in transactions exempt from or not subject to the registration requirements of the Securities Act. Information concerning the Selling Shareholders may change from time to time. Any changed information will be set forth in an amendment to the Registration Statement or supplement to this prospectus, to the extent required by law. Unless otherwise indicated in the footnotes to the table below, we believe, based on information furnished to us, that each Selling Shareholder named in this table has sole voting and investment power with respect to the ADSs indicated as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Selling Shareholders and the Resale ADSs that each may offer and sell from time to time under this prospectus. The table is prepared based, in part, on information supplied to us by the Selling Shareholders without regard to ownership or voting limitations set forth in the applicable agreements or other documents relating to such securities, including (i) all of the Resale ADSs offered hereby, and (ii) to our knowledge, all other securities held by each of the Selling Shareholders as of the date hereof (including securities acquired in our October 2025 Private Placement), and reflects their respective holdings as of August 31, 2026. Except as noted below, beneficial ownership is determined in accordance with Section 13(d) of the Exchange Act, and Rule 13d-3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182" w:type="dxa"/>
        <w:jc w:val="left"/>
        <w:tblInd w:w="0" w:type="dxa"/>
        <w:tblLayout w:type="fixed"/>
        <w:tblCellMar>
          <w:top w:w="0" w:type="dxa"/>
          <w:left w:w="0" w:type="dxa"/>
          <w:bottom w:w="28" w:type="dxa"/>
          <w:right w:w="0" w:type="dxa"/>
        </w:tblCellMar>
      </w:tblPr>
      <w:tblGrid>
        <w:gridCol w:w="5405"/>
        <w:gridCol w:w="60"/>
        <w:gridCol w:w="68"/>
        <w:gridCol w:w="972"/>
        <w:gridCol w:w="60"/>
        <w:gridCol w:w="60"/>
        <w:gridCol w:w="62"/>
        <w:gridCol w:w="887"/>
        <w:gridCol w:w="60"/>
        <w:gridCol w:w="60"/>
        <w:gridCol w:w="70"/>
        <w:gridCol w:w="1014"/>
        <w:gridCol w:w="60"/>
        <w:gridCol w:w="60"/>
        <w:gridCol w:w="147"/>
        <w:gridCol w:w="937"/>
        <w:gridCol w:w="200"/>
      </w:tblGrid>
      <w:tr>
        <w:trPr/>
        <w:tc>
          <w:tcPr>
            <w:tcW w:w="54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Shareholder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ADSs</w:t>
              <w:br/>
              <w:t>Beneficially</w:t>
              <w:br/>
              <w:t>Owned</w:t>
              <w:br/>
              <w:t>Prior to</w:t>
              <w:br/>
              <w:t>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w:t>
              <w:br/>
              <w:t>Number of</w:t>
              <w:br/>
              <w:t>ADSs</w:t>
              <w:br/>
              <w:t>to be Sold</w:t>
              <w:br/>
              <w:t>in this</w:t>
              <w:br/>
              <w:t>Offering</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ADSs</w:t>
              <w:br/>
              <w:t>Beneficially</w:t>
              <w:br/>
              <w:t>Owned After</w:t>
              <w:br/>
              <w:t>Offering</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of ADSs</w:t>
              <w:br/>
              <w:t>Beneficially</w:t>
              <w:br/>
              <w:t>Owned After</w:t>
              <w:br/>
              <w:t>Offering</w:t>
            </w:r>
            <w:r>
              <w:rPr>
                <w:rFonts w:ascii="Times New Roman;Times;Serif" w:hAnsi="Times New Roman;Times;Serif"/>
                <w:b/>
                <w:i w:val="false"/>
                <w:caps w:val="false"/>
                <w:smallCaps w:val="false"/>
                <w:position w:val="7"/>
                <w:sz w:val="16"/>
                <w:sz w:val="20"/>
              </w:rPr>
              <w:t>(2)</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3i, LP </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AIGH Capital Management, LLC </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2,337,906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691,590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1,646,316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Blackwell Partners LLC - Series A </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750,245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276,105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474,140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Boothbay Absolute Return Strategies, LP </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Brio Capital Master Fund Ltd </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355,346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278,516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DAFNA Capital Management, LLC </w:t>
            </w:r>
            <w:r>
              <w:rPr>
                <w:rFonts w:ascii="Times New Roman;Times;Serif" w:hAnsi="Times New Roman;Times;Serif"/>
                <w:b w:val="false"/>
                <w:i w:val="false"/>
                <w:caps w:val="false"/>
                <w:smallCaps w:val="false"/>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Diadema Partners LP </w:t>
            </w:r>
            <w:r>
              <w:rPr>
                <w:rFonts w:ascii="Times New Roman;Times;Serif" w:hAnsi="Times New Roman;Times;Serif"/>
                <w:b w:val="false"/>
                <w:i w:val="false"/>
                <w:caps w:val="false"/>
                <w:smallCaps w:val="false"/>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594,156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363,636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Eastmain 2023 Fund LP </w:t>
            </w:r>
            <w:r>
              <w:rPr>
                <w:rFonts w:ascii="Times New Roman;Times;Serif" w:hAnsi="Times New Roman;Times;Serif"/>
                <w:b w:val="false"/>
                <w:i w:val="false"/>
                <w:caps w:val="false"/>
                <w:smallCaps w:val="false"/>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Empery Asset Management LP </w:t>
            </w:r>
            <w:r>
              <w:rPr>
                <w:rFonts w:ascii="Times New Roman;Times;Serif" w:hAnsi="Times New Roman;Times;Serif"/>
                <w:b w:val="false"/>
                <w:i w:val="false"/>
                <w:caps w:val="false"/>
                <w:smallCaps w:val="false"/>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Hewlett Fund LP </w:t>
            </w:r>
            <w:r>
              <w:rPr>
                <w:rFonts w:ascii="Times New Roman;Times;Serif" w:hAnsi="Times New Roman;Times;Serif"/>
                <w:b w:val="false"/>
                <w:i w:val="false"/>
                <w:caps w:val="false"/>
                <w:smallCaps w:val="false"/>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452,332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329,392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Integrated Core Strategies (US) LLC </w:t>
            </w:r>
            <w:r>
              <w:rPr>
                <w:rFonts w:ascii="Times New Roman;Times;Serif" w:hAnsi="Times New Roman;Times;Serif"/>
                <w:b w:val="false"/>
                <w:i w:val="false"/>
                <w:caps w:val="false"/>
                <w:smallCaps w:val="false"/>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1,034,709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922,125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Lytton-Kambara Foundation </w:t>
            </w:r>
            <w:r>
              <w:rPr>
                <w:rFonts w:ascii="Times New Roman;Times;Serif" w:hAnsi="Times New Roman;Times;Serif"/>
                <w:b w:val="false"/>
                <w:i w:val="false"/>
                <w:caps w:val="false"/>
                <w:smallCaps w:val="false"/>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1,216,455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909,090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Kingdon Offshore Master Fund L.P. </w:t>
            </w:r>
            <w:r>
              <w:rPr>
                <w:rFonts w:ascii="Times New Roman;Times;Serif" w:hAnsi="Times New Roman;Times;Serif"/>
                <w:b w:val="false"/>
                <w:i w:val="false"/>
                <w:caps w:val="false"/>
                <w:smallCaps w:val="false"/>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Nantahala Capital Partners Limited Partnership </w:t>
            </w:r>
            <w:r>
              <w:rPr>
                <w:rFonts w:ascii="Times New Roman;Times;Serif" w:hAnsi="Times New Roman;Times;Serif"/>
                <w:b w:val="false"/>
                <w:i w:val="false"/>
                <w:caps w:val="false"/>
                <w:smallCaps w:val="false"/>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533,955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203,735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330,220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NCP RFM LP </w:t>
            </w:r>
            <w:r>
              <w:rPr>
                <w:rFonts w:ascii="Times New Roman;Times;Serif" w:hAnsi="Times New Roman;Times;Serif"/>
                <w:b w:val="false"/>
                <w:i w:val="false"/>
                <w:caps w:val="false"/>
                <w:smallCaps w:val="false"/>
                <w:position w:val="7"/>
                <w:sz w:val="16"/>
                <w:sz w:val="20"/>
              </w:rPr>
              <w:t>(17)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168,190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Proactive Capital Partners, LP </w:t>
            </w:r>
            <w:r>
              <w:rPr>
                <w:rFonts w:ascii="Times New Roman;Times;Serif" w:hAnsi="Times New Roman;Times;Serif"/>
                <w:b w:val="false"/>
                <w:i w:val="false"/>
                <w:caps w:val="false"/>
                <w:smallCaps w:val="false"/>
                <w:position w:val="7"/>
                <w:sz w:val="16"/>
                <w:sz w:val="20"/>
              </w:rPr>
              <w:t>(18)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36,885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Sirenia Capital Management LP </w:t>
            </w:r>
            <w:r>
              <w:rPr>
                <w:rFonts w:ascii="Times New Roman;Times;Serif" w:hAnsi="Times New Roman;Times;Serif"/>
                <w:b w:val="false"/>
                <w:i w:val="false"/>
                <w:caps w:val="false"/>
                <w:smallCaps w:val="false"/>
                <w:position w:val="7"/>
                <w:sz w:val="16"/>
                <w:sz w:val="20"/>
              </w:rPr>
              <w:t>(19)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3,984,992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3,073,770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911,222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Funds managed by Sphera Global Healthcare Management LP </w:t>
            </w:r>
            <w:r>
              <w:rPr>
                <w:rFonts w:ascii="Times New Roman;Times;Serif" w:hAnsi="Times New Roman;Times;Serif"/>
                <w:b w:val="false"/>
                <w:i w:val="false"/>
                <w:caps w:val="false"/>
                <w:smallCaps w:val="false"/>
                <w:position w:val="7"/>
                <w:sz w:val="16"/>
                <w:sz w:val="20"/>
              </w:rPr>
              <w:t>(20)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1,075,815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1,075,815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StemPoint Capital Master Fund LP </w:t>
            </w:r>
            <w:r>
              <w:rPr>
                <w:rFonts w:ascii="Times New Roman;Times;Serif" w:hAnsi="Times New Roman;Times;Serif"/>
                <w:b w:val="false"/>
                <w:i w:val="false"/>
                <w:caps w:val="false"/>
                <w:smallCaps w:val="false"/>
                <w:position w:val="7"/>
                <w:sz w:val="16"/>
                <w:sz w:val="20"/>
              </w:rPr>
              <w:t>(21)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Stonepine Capital, LP </w:t>
            </w:r>
            <w:r>
              <w:rPr>
                <w:rFonts w:ascii="Times New Roman;Times;Serif" w:hAnsi="Times New Roman;Times;Serif"/>
                <w:b w:val="false"/>
                <w:i w:val="false"/>
                <w:caps w:val="false"/>
                <w:smallCaps w:val="false"/>
                <w:position w:val="7"/>
                <w:sz w:val="16"/>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1,382,292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614,745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767,547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Pursuant to the Beneficial Ownership Limitation under the terms of the Pre-Funded Warrants and the Ordinary Warrants, a Selling Shareholder may not exercise any of such warrants to the extent such exercise would cause such Selling Shareholder, together with its affiliates and attribution parties, to own a number of Ordinary Shares represented by ADSs which would exceed 4.99% of our then outstanding Ordinary Shares following such exercise. In addition, both the Pre-Funded Warrants and the Ordinary Warrants provide that a holder of such warrants may not exercise any portion of such warrants to the extent that the holder, together with its affiliates, would hold more than 4.99% of our voting power.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written notice to us, a holder of Pre-Funded Warrants or Ordinary Warrants may from time to time increase or decrease the 4.99% limitations to any other percentage not in excess of 9.99% specified in such notice; provided that any increase in such beneficial ownership limitation will not be effective until the 61st day after such notice is delivered to us; provided further, that any such increase will not be effective until after obtaining the shareholder approval described under “The Private Placement -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as reflected in the Selling Shareholder table reflects the total number of shares potentially issuable underlying the Pre-Funded Warrants, the Ordinary Warrants and the October 2025 Ordinary Warrants and does not give effect to any beneficial ownership or voting limitations. Accordingly, actual beneficial ownership, as calculated in accordance with Section 13(d) and Rule 13d-3 thereunder may be lower than as reflected in the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283"/>
              <w:jc w:val="both"/>
              <w:rPr/>
            </w:pPr>
            <w:r>
              <w:rPr/>
              <w:t>We cannot provide an estimate as to the number of Resale ADSs that will be held by the Selling Shareholders upon termination of the offering covered by this prospectus because the Selling Shareholders may offer some, all or none of their Resale ADSs. Therefore, we have assumed, for purposes of this table, that the Selling Shareholders will sell the maximum number of Resale ADSs registered for resale pursuant to this 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45,160 Offered ADSs and (ii) 22,580 Ordinary Warrant ADSs, as well as (iii) 71 ADSs issuable upon the exercise of additional warrants held by 3i Management LLC is the general partner of 3i, LP, and Maier Joshua Tarlow is the manager of 3i Management LLC. As such, Mr. Tarlow exercises sole voting and investment discretion over securities beneficially owned directly or indirectly by 3i, LP and 3i Management LLC. Mr. Tarlow disclaims beneficial ownership of the securities beneficially owned directly by 3i, LP and indirectly by 3i Management LLC. The business address of each of the aforementioned parties is 2 Wooster Street, 2nd Floor, New York, NY 10013. We have been advised that none of Mr. Tarlow, 3i Management LLC, or 3i, LP is a member of the Financial Industry Regulatory Authority, or FINRA, or an independent broker-dealer, or an affiliate or associated person of a FINRA member or independent broker-dealer.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54,196 Offered ADSs held by AIGH Investment Partners, LP (“AIGH IP”), (ii) 294,826 Pre-Funded ADS issuable upon the exercise of Pre-Funded Warrants held by AIGH IP, and (iii) 174,511 Ordinary Warrant ADSs issuable upon the exercise of Ordinary Warrants held by AIGH IP, as well as (iv) 51,000 additional ADSs held by AIGH IP and (v) 1,147,478 ADSs issuable upon the exercise of warrants held by AIGH IP that were acquired in the October 2025 Private Placement; and (B)(i) 112,038 Offered ADSs held by WVP Emerging Manager Onshore Fund, LLC - Optimized Equity Series (“WVP”) and (ii) 56,019 Ordinary Warrant ADSs issuable upon the exercise of Ordinary Warrants held by WVP, as well as (iii) 19,000 additional ADSs held by WVP and (iv) 428,838 ADSs issuable upon the exercise of warrants held by WVP that were acquired in the October 2025 Private 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AIGH Capital Management, LLC serves as an advisor or sub-advisor with respect to securities held by AIGH IP and WVP. Orin Hirschman is the Managing Member of AIGH Capital Management, LLC. The principal place of business of AIGH IP and WVP is 6006 Berkeley Avenue, Baltimore, MD 21209.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beneficially owned prior to this offering, which does not reflect the application of any ownership or voting limitations, includes (i) 106,101 Offered ADSs, (ii) 77,969 Pre-Funded ADS issuable upon the exercise of Pre-Funded Warrants, and (iii) 92,035 Ordinary Warrant ADSs issuable upon the exercise of Ordinary Warrants, as well as (iv) 474,140 ADSs issuable upon the exercise of warrants that were acquired in the October 2025 Private Placement. The exercise of the foregoing warrants is subject to a 4.99% blocker. The above shall not be deemed to be an admission by the selling shareholder that it is itself a beneficial owner of any of these securities for purposes of Section 13(d) of the Exchange Act or any other purpose. Nantahala Capital Management, LLC, a Registered Investment Adviser, has the power to vote and/or direct the disposition of the securities held by the selling shareholder, either as a General Partner, Investment Manager, or Sub-Advisor, and may be deemed the beneficial owner of the shares of common stock held by the selling shareholder. Further, the selling shareholder may exercise certain rights to acquire shares of common stock disclosed above only if such acquisition would not cause the total number of shares of common stock beneficially owned by it and its affiliates to exceed 4.99% of the shares of common stock then outstanding. Wilmot Harkey and Daniel Mack are managing members of Nantahala Capital Management, LLC and may be deemed to have voting and dispositive power over the shares held by the selling shareholder. The notification address of the selling shareholder is 130 Main St., 2nd Floor, New Canaan, Connecticut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(6)</w:t>
            </w:r>
          </w:p>
        </w:tc>
        <w:tc>
          <w:tcPr>
            <w:tcW w:w="994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includes:(i) 51,220 Offered ADSs and (ii) 25,610 Ordinary Warrant ADSs, as well as (iii) 43,112 additional ADSs held. Jonathan Rozenberg and Vik Mittal may be deemed to be beneficial owners of securities held by Boothbay Absolute Return Strategies, LP. The address of the Selling Shareholder is 140 E 45th Street, 16th Floor, New York, New York 10017.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51,220 Offered ADSs and (ii) 25,610 Ordinary Warrant ADSs, as well as (iii) 2,608 additional ADSs held and (iv) 275,908 ADSs issuable upon the exercise of warrants that were acquired in the October 2025 Private Placement. Brio Capital Management LLC, is the investment manager of Brio Capital Master Fund Ltd. and has the voting and investment discretion over securities held by Brio Capital Master Fund Ltd. Shaye Hirsch, in his capacity as Managing Member of Brio Capital Management LLC, makes voting and investment decisions on behalf of Brio Capital Management LLC in its capacity as the investment manager of Brio Capital Master Fund Ltd. The address of Brio Capital Master Fund Ltd. is c/o Brio Capital Management LLC, 100 Merrick Road, Suite 401 W. Rockville Center, NY 11570.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(8)</w:t>
            </w:r>
          </w:p>
        </w:tc>
        <w:tc>
          <w:tcPr>
            <w:tcW w:w="994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101,430 Offered ADSs held by DAFNA LifeScience LP (“DAFNA LS”) and (ii) 50,715 Ordinary Warrant ADSs issuable upon Ordinary Warrants held by DAFNA LS; and (B) (i) 52,250 Offered ADSs held by DAFNA LifeScience Select LP (“DAFNA LSS”) and (ii) 26,125 Ordinary Warrant ADSs issuable upon Ordinary Warrants held by DAFNA LSS.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DAFNA Capital Management, LLC (“DCM LLC”) serves as the investment manager and general partner to DAFNA LS and DAFNA LSS and, as a result, maintains voting and investment power with respect to the securities held by DAFNA LS and DAFNA LSS. Nathan Fischel and Fariba Ghodsian are the Chief Executive Officer and the Chief Investment Officer of DCM LLC, respectively. As controlling persons of DCM LLC, they may be deemed to beneficially own the ADSs owned by DAFNA LS and DAFNA LSS. The address of DAFNA LS and DAFNA LSS is c/o DAFNA Capital Management, LLC, 10990 Wilshire Blvd, Ste. 1400, Los Angeles, CA 90024.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(9)</w:t>
            </w:r>
          </w:p>
        </w:tc>
        <w:tc>
          <w:tcPr>
            <w:tcW w:w="995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32,534 Offered ADSs held by Diadema Partners Master Fund LP (“Diadema Master”) and (ii) 16,267 Ordinary Warrant ADSs issuable upon the exercise of Ordinary Warrants held by Diadema Master , as well as (iii) 87,616 ADSs issuable upon the exercise of warrants held by Diadema Master that were acquired in the October 2025 Private Placement; (B)(i) 62,820 Offered ADSs held by Diadema Strategic Fund LP (“Diadema Strategic”) and (ii) 31,410 Ordinary Warrant ADSs issuable upon the exercise of Ordinary Warrants held by Diadema Strategic, as well as (iii) 138,660 ADSs issuable upon the exercise of warrants held by Diadema Strategic that were acquired in the October 2025 Private Placement; (C)(i) 43,960 Offered ADSs held by Persistent Asset Global Select Fund SPC (“Persistent”) and (ii) 21,980 Ordinary Warrant ADSs issuable upon the exercise of Ordinary Warrants held by Persistent, as well as (iii) 94,816 ADSs issuable upon the exercise of warrants held by Persistent that were acquired in the October 2025 Private Placement; and (D)(i) 14,366 Offered ADSs held by Valence8 Diversified(US) LLC (“Valence”) and (ii) 7,183 Ordinary Warrant ADSs issuable upon the exercise of Ordinary Warrants held by Valence, as well as (iii) 42,544 ADSs issuable upon the exercise of warrants held by Valence that were acquired in the October 2025 Private Placement. Diadema Master, Diadema Strategic, Persistent, and Valence are referred to herein as the “Diadema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Diadema Partners LP (“Diadema Partners”) is the investment manager for each of the Diadema Funds; and Diadema Partners General Partner LLC (“Diadema Partners GP”) is the sole general partner of Diadema Partners. Timothy Bassett is the sole managing member of Diadema Partners GP. Each of Diadema Partners, Diadema Partners GP, and Mr. Bassett disclaims beneficial ownership of the securities held directly by the Diadema Funds except to the extent of their pecuniary interest therein. The address of the Diadema Funds is 2140 Headquarters Plaza, East Tower 2nd Floor, Morristown, NJ 07960.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(10)</w:t>
            </w:r>
          </w:p>
        </w:tc>
        <w:tc>
          <w:tcPr>
            <w:tcW w:w="982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beneficially owned prior to this offering, which does not reflect the application of any ownership or voting limitations, includes (i) 27,455 Offered ADSs, (ii) 20,175 Pre-Funded ADS issuable upon the exercise of Pre-Funded Warrants, and (iii) 23,815 Ordinary Warrant ADSs issuable upon the exercise of Ordinary Warrants. The exercise of the foregoing warrants is subject to a 4.99% blocker. The above shall not be deemed to be an admission by the selling shareholder that it is itself a beneficial owner of any of these securities for purposes of Section 13(d) of the Exchange Act or any other purpose. Nantahala Capital Management, LLC, a Registered Investment Adviser, has the power to vote and/or direct the disposition of the securities held by the selling shareholder, either as a General Partner, Investment Manager, or Sub-Advisor, and may be deemed the beneficial owner of the shares of common stock held by the selling shareholder. Further, the selling shareholder may exercise certain rights to acquire shares of common stock disclosed above only if such acquisition would not cause the total number of shares of common stock beneficially owned by it and its affiliates to exceed 4.99% of the shares of common stock then outstanding. Wilmot Harkey and Daniel Mack are managing members of Nantahala Capital Management, LLC and may be deemed to have voting and dispositive power over the shares held by the selling shareholder. The notification address of the selling shareholder is 130 Main St., 2nd Floor, New Canaan, Connecticut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(11)</w:t>
            </w:r>
          </w:p>
        </w:tc>
        <w:tc>
          <w:tcPr>
            <w:tcW w:w="9824"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 (i) 102,586 Offered ADSs held by Empery Asset Master Ltd (“EAM”) and (ii) 51,293 Ordinary Warrant ADSs issuable upon the exercise of Ordinary Warrants held by EAM; (B) (i) 47,644 Offered ADSs held by Empery Tax Efficient, LP (“ETE”), (ii) 23,822 Ordinary Warrant ADSs issuable upon the exercise of Ordinary Warrants held by ETE; and (C) (i)  54,680 Offered ADSs held by Empery Tax Efficient III, LP (“ETE III” and collectively with EAM and ETE, the “Empery Funds”) and (ii) 27,340 Ordinary Warrant ADSs issuable upon the exercise of Ordinary Warrants held by ETE III.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Empery Asset Management LP, the authorized agent of Empery Funds, has discretionary authority to vote and dispose of the shares held by the Empery Funds and may be deemed to be the beneficial owner of these shares. Ryan Lane, in his capacity as the chief investment officer of Empery Asset Management LP, may also be deemed to have investment discretion and voting power over the shares held by the Empery Funds. Each of the Empery Funds and Mr. Lane each disclaim any beneficial ownership of these shares. The address of each of the Empery Funds is c/o Empery Asset Management, LP, One Rockefeller Plaza, Suite 1205, New York, NY 10020.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(12)</w:t>
            </w:r>
          </w:p>
        </w:tc>
        <w:tc>
          <w:tcPr>
            <w:tcW w:w="9822"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81,960 Offered ADSs and (ii) 40,980 Ordinary Warrant ADSs, as well as (iii) 329,392 ADSs issuable upon the exercise of warrants that were acquired in the October 2025 Private Placement. Martin Chopp has sole voting and investment control of the securities beneficially owned by the Selling Shareholder. The address of the Selling Shareholder is 100 Merrick Road - Suite 400W Rockville Centre, NY 11570.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(13)</w:t>
            </w:r>
          </w:p>
        </w:tc>
        <w:tc>
          <w:tcPr>
            <w:tcW w:w="9828"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123,643 Offered ADSs, (ii) 491,107 Pre-Funded ADS, and (iii) 307,375 Ordinary Warrant ADSs, as well as (iv) 112,584 additional ADSs that were acquired separately from the Private Placement. The securities listed above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such entities. The address for Integrated Core Strategies (US) LLC is c/o Millennium Management LLC, 399 Park Avenue, New York, New York 10022.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(14)</w:t>
            </w:r>
          </w:p>
        </w:tc>
        <w:tc>
          <w:tcPr>
            <w:tcW w:w="9822"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204,910 Offered ADSs and (ii) 102,455 Ordinary Warrant ADSs, as well as (iii) 909,090 issuable upon the exercise of warrants that were acquired in the October 2025 Private Placement. Laurence Lytton has sole voting and investment control of the securities beneficially owned by the Lytton-Kambara Foundation. The address of the Lytton-Kambara Foundation is 467 Central Park West, Number 17-A, New York, New York 10025.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(15)</w:t>
            </w:r>
          </w:p>
        </w:tc>
        <w:tc>
          <w:tcPr>
            <w:tcW w:w="9820"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204,910 Offered ADSs and (ii) 102,455 Ordinary Warrant ADSs. Mark E. Kingdon may be deemed to be beneficial owner of securities held by the Selling Shareholder. The address of M. Kingdon Offshore Master Fund L.P. is c/o Kingdon Capital Management, LLC, 152 W. 57th Street, 50th Floor, New York, NY 10019.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(16)</w:t>
            </w:r>
          </w:p>
        </w:tc>
        <w:tc>
          <w:tcPr>
            <w:tcW w:w="98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beneficially owned prior to this offering, which does not reflect the application of any ownership or voting limitations, includes (i) 78,291 Offered ADSs, (ii) 57,532 Pre-Funded ADS issuable upon the exercise of Pre-Funded Warrants, and (iii) 67,912 Ordinary Warrant ADSs issuable upon the exercise of Ordinary Warrants, as well as (iv) 330,220 ADSs issuable upon the exercise of warrants that were acquired in the October 2025 Private Placement. The exercise of the foregoing warrants is subject to a 4.99% blocker. The above shall not be deemed to be an admission by the selling shareholder that it is itself a beneficial owner of any of these securities for purposes of Section 13(d) of the Exchange Act or any other purpose. Nantahala Capital Management, LLC, a Registered Investment Adviser, has the power to vote and/or direct the disposition of the securities held by the selling shareholder, either as a General Partner, Investment Manager, or Sub-Advisor, and may be deemed the beneficial owner of the shares of common stock held by the selling shareholder. Further, the selling shareholder may exercise certain rights to acquire shares of common stock disclosed above only if such acquisition would not cause the total number of shares of common stock beneficially owned by it and its affiliates to exceed 4.99% of the shares of common stock then outstanding. Wilmot Harkey and Daniel Mack are managing members of Nantahala Capital Management, LLC and may be deemed to have voting and dispositive power over the shares held by the selling shareholder. The address of the selling shareholder is 130 Main St., 2nd Floor, New Canaan, Connecticut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(17)</w:t>
            </w:r>
          </w:p>
        </w:tc>
        <w:tc>
          <w:tcPr>
            <w:tcW w:w="98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beneficially owned prior to this offering, which does not reflect the application of any ownership or voting limitations, includes (i) 24,387 Offered ADSs, (ii) 17,920 Pre-Funded ADS issuable upon the exercise of Pre-Funded Warrants, and (iii) 21,153 Ordinary Warrant ADSs issuable upon the exercise of Ordinary Warrants, as well as (iv) 104,730 ADSs issuable upon the exercise of warrants that were acquired in the October 2025 Private Placement. The exercise of the foregoing warrants is subject to a 4.99% blocker. The above shall not be deemed to be an admission by the selling shareholder that it is itself a beneficial owner of any of these securities for purposes of Section 13(d) of the Exchange Act or any other purpose. Nantahala Capital Management, LLC, a Registered Investment Adviser, has the power to vote and/or direct the disposition of the securities held by the selling shareholder, either as a General Partner, Investment Manager, or Sub-Advisor, and may be deemed the beneficial owner of the shares of common stock held by the selling shareholder. Further, the selling shareholder may exercise certain rights to acquire shares of common stock disclosed above only if such acquisition would not cause the total number of shares of common stock beneficially owned by it and its affiliates to exceed 4.99% of the shares of common stock then outstanding. Wilmot Harkey and Daniel Mack are managing members of Nantahala Capital Management, LLC and may be deemed to have voting and dispositive power over the shares held by the selling shareholder. The address of the selling shareholder is 130 Main St., 2nd Floor, New Canaan, Connecticut 06840.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4"/>
        <w:gridCol w:w="9824"/>
      </w:tblGrid>
      <w:tr>
        <w:trPr/>
        <w:tc>
          <w:tcPr>
            <w:tcW w:w="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(18)</w:t>
            </w:r>
          </w:p>
        </w:tc>
        <w:tc>
          <w:tcPr>
            <w:tcW w:w="9824"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24,590 Offered ADSs and (ii) 12,295 Ordinary Warrant ADSs, as well as (iii) 6,143 additional ADSs. Jeffrey S. Ramson is the general partner of Proactive Capital Partners, LP and has voting and investment control over the securities held by Proactive Capital Partners, LP and may be deemed to beneficially own the shares of common stock owned by Proactive Capital Partners, LP. The address for Proactive Capital Partners, LP and Mr. Ramson is 110 East 59th Street, 23rd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1"/>
        <w:gridCol w:w="9827"/>
      </w:tblGrid>
      <w:tr>
        <w:trPr/>
        <w:tc>
          <w:tcPr>
            <w:tcW w:w="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(19)</w:t>
            </w:r>
          </w:p>
        </w:tc>
        <w:tc>
          <w:tcPr>
            <w:tcW w:w="9827"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4,684 Offered ADSs held by Manatee Access Fund LP (“Manatee”), (ii) 35,947 Pre-Funded ADS issuable upon the exercise of Pre-Funded Warrants held by Manatee, and (iii) 20,316 Ordinary Warrant ADS issuable upon the exercise of Ordinary Warrants held by Manatee, as well as (iv) 2,132 additional ADSs held by Manatee; and (B)(i) 231,550 Offered ADSs held by SILV Fund, Ltd. (“SILV Fund”), (ii) 1,776,999 Pre-Funded ADS issuable upon the exercise of Pre-Funded Warrants held by SILV Fund, and (iii) 1,004,274 Ordinary Warrant ADSs issuable upon the exercise of Ordinary Warrants held by SILV Fund; as well as (iv) 909,090 issuable upon the exercise of warrants held by SILV Fund that were acquired in the October 2025 Private Placement.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Sirenia Capital Management LP (“Sirenia”) serves as the investment manager to Manatee and SILV Fund and, as a result, maintains voting and investment power with respect to the securities held by Manatee and SILV Fund. Sirenia Capital Management GP LLC (“Sirenia GP”) is the general partner of Sirenia. Alex Silverstein is the managing member of Sirenia GP. Each of SILV Fund, Ltd., Sirenia GP and Mr. Silverstein disclaims beneficial ownership over such securities. The address of Manatee and SILV Fund Ltd. is c/o Sirenia Capital Management LP, 1674 Meridian Avenue, Suite 320, Miami Beach, FL 33139.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(20)</w:t>
            </w:r>
          </w:p>
        </w:tc>
        <w:tc>
          <w:tcPr>
            <w:tcW w:w="9826"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(A)(i) 217,335 Offered ADSs held by Sphera Biotech Master Fund LP (“Sphera BMF”), (ii) 442,498 Pre-Funded ADS issuable upon the exercise of Pre-Funded Warrants held by Sphera BMF, and (iii) 329,917 Ordinary Warrant ADSs issuable upon the exercise of Ordinary Warrants held by Sphera BMF; and (B) (i) 18,899 Offered ADSs held by Sphera Global Healthcare Master Fund (“Sphera GHMF”), (ii) 38,478 Pre-Funded ADS issuable upon the exercise of Pre-Funded Warrants held by Sphera GHMF, and (iii) 28,688 Ordinary Warrant ADSs issuable upon the exercise of Ordinary Warrants held by Sphera GHMF.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Sphera Global Healthcare Management LP may be deemed to be beneficial owner of securities held by Sphera BMF and Sphera GHMF. The address of Sphera BMF and Sphera GHMF is 4 Yitzhak Sade, Building A, 29th Floor, Tel Aviv 6777520, Israel.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(21)</w:t>
            </w:r>
          </w:p>
        </w:tc>
        <w:tc>
          <w:tcPr>
            <w:tcW w:w="9826"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236,234 Offered ADSs, (ii) 173,596 Pre-Funded ADS, and (iii) 204,915 Ordinary Warrant ADSs. StemPoint Capital LP (“StemPoint”) serves as an investment adviser to StemPoint Capital Master Fund LP (“StemPoint Fund”). StemPoint exercises voting and investment power over the shares held by StemPoint Fund pursuant to an investment management agreement. StemPoint Capital Management GP LLC (“StemPoint GP”) is the general partner of StemPoint. StemPoint, StemPoint GP, and Michelle Ross may be deemed to beneficially own the shares held by StemPoint Fund. The address of StemPoint Fund is 520 Madison Avenue, 19th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(22)</w:t>
            </w:r>
          </w:p>
        </w:tc>
        <w:tc>
          <w:tcPr>
            <w:tcW w:w="9823" w:type="dxa"/>
            <w:tcBorders/>
            <w:vAlign w:val="center"/>
          </w:tcPr>
          <w:p>
            <w:pPr>
              <w:pStyle w:val="TableContents"/>
              <w:bidi w:val="0"/>
              <w:spacing w:before="0" w:after="283"/>
              <w:jc w:val="both"/>
              <w:rPr/>
            </w:pPr>
            <w:r>
              <w:rPr/>
              <w:t>The ADSs beneficially owned prior to this offering, which does not reflect the application of any ownership or voting limitations, includes: (i) 34,747 Offered ADSs, (ii) 375,083 Pre-Funded ADS, and (iii) 204,915 Ordinary Warrant ADSs, as well as (iv) 201,487 additional ADSs, and (v) 566,060 ADSs issuable upon the exercise of warrants that were acquired in the October 2025 Private Placement. Jon M. Plexico has sole voting and investment control of the securities beneficially owned by Stonepine Capital, LP. The address of Stonepine Capital, LP is 2900 NW Clearwater Dr, Ste 100-11, Bend, OR 97703.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which as used herein includes donees, pledgees, transferees or other successors-in-interest selling ADSs or interests in ADSs received after the date of this prospectus from a Selling Shareholder as a gift, pledge, partnership distribution or other transfer, may, from time to time, sell, transfer or otherwise dispose of any or all of their ADSs or interests in ADSs on any stock exchange, market or trading facility on which the ADSs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use any one or more of the following methods when disposing of ADSs or interests therein: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distributions to members, partners, stockholders or other equityholders of the Selling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ADSs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and settlement of short sales entered into after the effective date of the registration statement of which this prospectus is a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the Selling Shareholders to sell a specified number of such shares at a stipulated price per ADSs;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ADSs owned by them and, if they default in the performance of their secured obligations, the pledgees or secured parties may offer and sell the ADSs,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ADSs in other circumstances, in which case the transferees, pledgees or other successors in interest will be the Selling Shareholders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ADSs or interests therein, the Selling Shareholders may enter into hedging transactions with broker-dealers or other financial institutions, which may in turn engage in short sales of the ADSs in the course of hedging the positions they assume. The Selling Shareholders may also sell our ADSs short and deliver these securities to close out their short positions, or loan or pledge the ADSs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Shareholders from the sale of the ADSs offered by them will be the purchase price of the ADSs less discounts or commissions, if any. Each of the Selling Shareholders reserves the right to accept and, together with their agents from time to time, to reject, in whole or in part, any proposed purchase of ADSs to be made directly or through agents. We will not receive any of the proceeds from this offering. Upon any exercise of the pre-funded warrants or ordinary warrants by payment of cash, however, we will receive the exercise price of the Pre-Funded Warrants or the Ordinary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also may resell all or a portion of the ADSs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underwriters, broker-dealers or agents that participate in the sale of the ADSs or interests therein may be “underwriters” within the meaning of Section 2(a)(11) of the Securities Act (it being understood that the Selling Shareholders shall not be deemed to be underwriters solely as a result of their participation in this offering). Any discounts, commissions, concessions or profit they earn on any resale of the ADSs may be underwriting discounts and commissions under the Securities Act. Selling Shareholders who are “underwriters” within the meaning of Section 2(a)(11)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ADSs to be sold, the names of the Selling Shareholders,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ADSs may be sold in these jurisdictions only through registered or licensed brokers or dealers. In addition, in some states the ADSs may not be sold unless such securities have been registered or qualified for sale or an exemption from registration or qualification requirements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Shareholders that the anti-manipulation rules of Regulation M under the Exchange Act may apply to sales of ADSs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ADSs against certain liabilities, including liabilities arising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Shareholders against liabilities, including liabilities under the Securities Act and state securities laws, relating to the registration of the ADSs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Shareholders to use commercially reasonable efforts to cause the registration statement of which this prospectus constitutes a part to become effective and to remain continuously effective until the earlier of: (i)  the date on which the Selling Shareholders shall have resold or otherwise disposed of all the ADSs covered by this prospectus pursuant to Rule 144 or pursuant to this prospectus, and (ii) the date on which the ADSs covered by this prospectus no longer constitute “Registrable Securities” as such term is defined in the Registration Rights Agreement, such that they may be resold by the Selling Shareholders without registration and without regard to any volume or manner-of-sale limitations and without current public information pursuant to Rule 144 under the Securities Act or any other rule of similar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Meitar | Law Offices, Ramat Gan,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and for the year ended December 31, 2025 incorporated by reference in this registration statement has been audited by CBIZ CPAs P.C., an independent registered public accounting firm, as stated in their report (which includes an explanatory paragraph as to the Company’s ability to continue as a going concern). Such financial statements are incorporated in reliance upon the report of such firm given upon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and for the year ended December 31, 2024 incorporated by reference in this registration statement has been audited by Marcum LLP, an independent registered public accounting firm, as stated in their report. Such financial statements are incorporated in reliance upon the report of such firm given upon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the Selling Shareholders nor any agent, underwriter or dealer has authorized any person to provide you with different information. Neither we nor the Selling Shareholders are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Our SEC filings are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Additional information about Quoin Pharmaceuticals Ltd. is contained at our website, </w:t>
      </w:r>
      <w:r>
        <w:rPr>
          <w:rFonts w:ascii="Times New Roman;Times;Serif" w:hAnsi="Times New Roman;Times;Serif"/>
          <w:b w:val="false"/>
          <w:i/>
          <w:caps w:val="false"/>
          <w:smallCaps w:val="false"/>
          <w:sz w:val="20"/>
        </w:rPr>
        <w:t>www.quoinpharma.com</w:t>
      </w:r>
      <w:r>
        <w:rPr>
          <w:rFonts w:ascii="Times New Roman;Times;Serif" w:hAnsi="Times New Roman;Times;Serif"/>
          <w:b w:val="false"/>
          <w:i w:val="false"/>
          <w:caps w:val="false"/>
          <w:smallCaps w:val="false"/>
          <w:sz w:val="20"/>
        </w:rPr>
        <w:t>. Information on our website is not incorporated by reference into this prospectus. We make available on our website our SEC filings as soon as reasonably practicable after those reports are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and the registration statement of which this prospectus is a part the information or documents listed below that we have filed with the SEC (Commission File No. 001-37846):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hyperlink r:id="rId3">
              <w:r>
                <w:rPr>
                  <w:rStyle w:val="InternetLink"/>
                  <w:rFonts w:ascii="Symbol" w:hAnsi="Symbol"/>
                </w:rPr>
                <w:t>·</w:t>
              </w:r>
            </w:hyperlink>
          </w:p>
        </w:tc>
        <w:tc>
          <w:tcPr>
            <w:tcW w:w="10043" w:type="dxa"/>
            <w:tcBorders/>
            <w:vAlign w:val="center"/>
          </w:tcPr>
          <w:p>
            <w:pPr>
              <w:pStyle w:val="TableContents"/>
              <w:bidi w:val="0"/>
              <w:spacing w:before="0" w:after="283"/>
              <w:jc w:val="both"/>
              <w:rPr/>
            </w:pPr>
            <w:hyperlink r:id="rId4">
              <w:r>
                <w:rPr>
                  <w:rStyle w:val="InternetLink"/>
                  <w:rFonts w:ascii="Times New Roman;Times;Serif" w:hAnsi="Times New Roman;Times;Serif"/>
                </w:rPr>
                <w:t>Our Annual Report on Form 10-K for the fiscal year ended December 31, 2025, filed with the Commission on March 26, 2026 (the “Form 10-K”);</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hyperlink r:id="rId5">
              <w:r>
                <w:rPr>
                  <w:rStyle w:val="InternetLink"/>
                  <w:rFonts w:ascii="Symbol" w:hAnsi="Symbol"/>
                </w:rPr>
                <w:t>·</w:t>
              </w:r>
            </w:hyperlink>
          </w:p>
        </w:tc>
        <w:tc>
          <w:tcPr>
            <w:tcW w:w="10043" w:type="dxa"/>
            <w:tcBorders/>
            <w:vAlign w:val="center"/>
          </w:tcPr>
          <w:p>
            <w:pPr>
              <w:pStyle w:val="TableContents"/>
              <w:bidi w:val="0"/>
              <w:spacing w:before="0" w:after="283"/>
              <w:jc w:val="both"/>
              <w:rPr/>
            </w:pPr>
            <w:hyperlink r:id="rId6">
              <w:r>
                <w:rPr>
                  <w:rStyle w:val="InternetLink"/>
                  <w:rFonts w:ascii="Times New Roman;Times;Serif" w:hAnsi="Times New Roman;Times;Serif"/>
                </w:rPr>
                <w:t>Our Quarterly Report on Form 10-Q for the quarter ended March 31, 2026, filed with the Commission on May 7,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hyperlink r:id="rId7">
              <w:r>
                <w:rPr>
                  <w:rStyle w:val="InternetLink"/>
                  <w:rFonts w:ascii="Symbol" w:hAnsi="Symbol"/>
                </w:rPr>
                <w:t>·</w:t>
              </w:r>
            </w:hyperlink>
          </w:p>
        </w:tc>
        <w:tc>
          <w:tcPr>
            <w:tcW w:w="10043" w:type="dxa"/>
            <w:tcBorders/>
            <w:vAlign w:val="center"/>
          </w:tcPr>
          <w:p>
            <w:pPr>
              <w:pStyle w:val="TableContents"/>
              <w:bidi w:val="0"/>
              <w:spacing w:before="0" w:after="283"/>
              <w:jc w:val="both"/>
              <w:rPr/>
            </w:pPr>
            <w:hyperlink r:id="rId8">
              <w:r>
                <w:rPr>
                  <w:rStyle w:val="InternetLink"/>
                  <w:rFonts w:ascii="Times New Roman;Times;Serif" w:hAnsi="Times New Roman;Times;Serif"/>
                </w:rPr>
                <w:t>Our Quarterly Report on Form 10-Q for the quarter ended June 30, 2026, filed with the Commission on August 14,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Commission on </w:t>
            </w:r>
            <w:hyperlink r:id="rId9">
              <w:r>
                <w:rPr>
                  <w:rStyle w:val="InternetLink"/>
                  <w:rFonts w:ascii="Times New Roman;Times;Serif" w:hAnsi="Times New Roman;Times;Serif"/>
                </w:rPr>
                <w:t>January 20, 2026</w:t>
              </w:r>
            </w:hyperlink>
            <w:r>
              <w:rPr>
                <w:rFonts w:ascii="Times New Roman;Times;Serif" w:hAnsi="Times New Roman;Times;Serif"/>
              </w:rPr>
              <w:t xml:space="preserve">, </w:t>
            </w:r>
            <w:hyperlink r:id="rId10">
              <w:r>
                <w:rPr>
                  <w:rStyle w:val="InternetLink"/>
                  <w:rFonts w:ascii="Times New Roman;Times;Serif" w:hAnsi="Times New Roman;Times;Serif"/>
                </w:rPr>
                <w:t>March 11, 2026</w:t>
              </w:r>
            </w:hyperlink>
            <w:r>
              <w:rPr>
                <w:rFonts w:ascii="Times New Roman;Times;Serif" w:hAnsi="Times New Roman;Times;Serif"/>
              </w:rPr>
              <w:t xml:space="preserve">, </w:t>
            </w:r>
            <w:hyperlink r:id="rId11">
              <w:r>
                <w:rPr>
                  <w:rStyle w:val="InternetLink"/>
                  <w:rFonts w:ascii="Times New Roman;Times;Serif" w:hAnsi="Times New Roman;Times;Serif"/>
                </w:rPr>
                <w:t>June 4, 2026</w:t>
              </w:r>
            </w:hyperlink>
            <w:r>
              <w:rPr>
                <w:rFonts w:ascii="Times New Roman;Times;Serif" w:hAnsi="Times New Roman;Times;Serif"/>
              </w:rPr>
              <w:t xml:space="preserve">, </w:t>
            </w:r>
            <w:hyperlink r:id="rId12">
              <w:r>
                <w:rPr>
                  <w:rStyle w:val="InternetLink"/>
                  <w:rFonts w:ascii="Times New Roman;Times;Serif" w:hAnsi="Times New Roman;Times;Serif"/>
                </w:rPr>
                <w:t>June 23, 2026</w:t>
              </w:r>
            </w:hyperlink>
            <w:r>
              <w:rPr>
                <w:rFonts w:ascii="Times New Roman;Times;Serif" w:hAnsi="Times New Roman;Times;Serif"/>
              </w:rPr>
              <w:t xml:space="preserve">, </w:t>
            </w:r>
            <w:hyperlink r:id="rId13">
              <w:r>
                <w:rPr>
                  <w:rStyle w:val="InternetLink"/>
                  <w:rFonts w:ascii="Times New Roman;Times;Serif" w:hAnsi="Times New Roman;Times;Serif"/>
                </w:rPr>
                <w:t>August 20, 2026</w:t>
              </w:r>
            </w:hyperlink>
            <w:r>
              <w:rPr>
                <w:rFonts w:ascii="Times New Roman;Times;Serif" w:hAnsi="Times New Roman;Times;Serif"/>
              </w:rPr>
              <w:t xml:space="preserve">, </w:t>
            </w:r>
            <w:hyperlink r:id="rId14">
              <w:r>
                <w:rPr>
                  <w:rStyle w:val="InternetLink"/>
                  <w:rFonts w:ascii="Times New Roman;Times;Serif" w:hAnsi="Times New Roman;Times;Serif"/>
                </w:rPr>
                <w:t>August 28, 2026</w:t>
              </w:r>
            </w:hyperlink>
            <w:r>
              <w:rPr>
                <w:rFonts w:ascii="Times New Roman;Times;Serif" w:hAnsi="Times New Roman;Times;Serif"/>
              </w:rPr>
              <w:t>,  </w:t>
            </w:r>
            <w:hyperlink r:id="rId15">
              <w:r>
                <w:rPr>
                  <w:rStyle w:val="InternetLink"/>
                  <w:rFonts w:ascii="Times New Roman;Times;Serif" w:hAnsi="Times New Roman;Times;Serif"/>
                </w:rPr>
                <w:t>September 10, 2026</w:t>
              </w:r>
            </w:hyperlink>
            <w:r>
              <w:rPr>
                <w:rFonts w:ascii="Times New Roman;Times;Serif" w:hAnsi="Times New Roman;Times;Serif"/>
              </w:rPr>
              <w:t xml:space="preserve">, and </w:t>
            </w:r>
            <w:hyperlink r:id="rId16">
              <w:r>
                <w:rPr>
                  <w:rStyle w:val="InternetLink"/>
                  <w:rFonts w:ascii="Times New Roman;Times;Serif" w:hAnsi="Times New Roman;Times;Serif"/>
                </w:rPr>
                <w:t>September 22, 2026</w:t>
              </w:r>
            </w:hyperlink>
            <w:r>
              <w:rPr>
                <w:rFonts w:ascii="Times New Roman;Times;Serif" w:hAnsi="Times New Roman;Times;Serif"/>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The description of our ADSs and Ordinary Shares set forth in </w:t>
            </w:r>
            <w:hyperlink r:id="rId17">
              <w:r>
                <w:rPr>
                  <w:rStyle w:val="InternetLink"/>
                  <w:rFonts w:ascii="Times New Roman;Times;Serif" w:hAnsi="Times New Roman;Times;Serif"/>
                </w:rPr>
                <w:t>Exhibit 4.17 to the Form 10-K</w:t>
              </w:r>
            </w:hyperlink>
            <w:r>
              <w:rPr>
                <w:rFonts w:ascii="Times New Roman;Times;Serif" w:hAnsi="Times New Roman;Times;Serif"/>
              </w:rPr>
              <w:t>, including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additional documents that we file with the SEC under the terms of Section 13(a), 13(c), 14 or 15(d) of the Exchange Act that are made with the SEC (i) on or after the date of the initial filing of the registration statement of which this prospectus forms a part and prior to effectiveness of such registration statement, and (ii) on or after the date of this prospectus but prior to the termination of the offering (i.e., until the earlier of the date on which all of the securities registered hereunder have been sold or the registration statement of which this prospectus forms a part has been withdrawn).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after the date of this prospectus and until the offering of securities covered by this prospectus has been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incorporating, in each case, any documents or information that we are deemed to furnish and not file in accordance with SEC rules. In addition, to the extent that any information contained in any Current Report on Form 8-K, or any exhibit thereto, is or was furnished to, rather than filed with, the SEC, such information or exhibit is specifically not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or any other supplement or amendment forming a part of the registration statement is delivered, including any beneficial owner, upon the written or oral request of such person, a copy of any or all of the documents incorporated by reference herein and therein, including exhibits. Requests should be directed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Quoin Pharmaceuticals Ltd.</w:t>
        <w:br/>
        <w:t>42127 Pleasant Forest Ct</w:t>
        <w:br/>
        <w:t>Ashburn, VA 20148</w:t>
        <w:br/>
        <w:t>Attention: Corporate Secretary</w:t>
        <w:br/>
        <w:t>(703) 980-4182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herein shall be deemed to be modified or superseded for purposes of this prospectus to the extent that a statement contained in this prospectus or in any other subsequently filed document which also is or is deemed to be incorporated by reference herein modifies or supersedes that statement. Any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4800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304800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9,371,895 American Depositary Shares Representing 328,016,325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71502/000110465926035251/qnrx-20251231x10k.htm" TargetMode="External"/><Relationship Id="rId4" Type="http://schemas.openxmlformats.org/officeDocument/2006/relationships/hyperlink" Target="https://www.sec.gov/ix?doc=/Archives/edgar/data/1671502/000110465926035251/qnrx-20251231x10k.htm" TargetMode="External"/><Relationship Id="rId5" Type="http://schemas.openxmlformats.org/officeDocument/2006/relationships/hyperlink" Target="https://www.sec.gov/ix?doc=/Archives/edgar/data/1671502/000110465926056941/qnrx-20260331x10q.htm" TargetMode="External"/><Relationship Id="rId6" Type="http://schemas.openxmlformats.org/officeDocument/2006/relationships/hyperlink" Target="https://www.sec.gov/ix?doc=/Archives/edgar/data/1671502/000110465926056941/qnrx-20260331x10q.htm" TargetMode="External"/><Relationship Id="rId7" Type="http://schemas.openxmlformats.org/officeDocument/2006/relationships/hyperlink" Target="https://www.sec.gov/ix?doc=/Archives/edgar/data/1671502/000110465926097064/qnrx-20260630x10q.htm" TargetMode="External"/><Relationship Id="rId8" Type="http://schemas.openxmlformats.org/officeDocument/2006/relationships/hyperlink" Target="https://www.sec.gov/ix?doc=/Archives/edgar/data/1671502/000110465926097064/qnrx-20260630x10q.htm" TargetMode="External"/><Relationship Id="rId9" Type="http://schemas.openxmlformats.org/officeDocument/2006/relationships/hyperlink" Target="https://www.sec.gov/ix?doc=/Archives/edgar/data/1671502/000110465926005127/tm263667d1_8k.htm" TargetMode="External"/><Relationship Id="rId10" Type="http://schemas.openxmlformats.org/officeDocument/2006/relationships/hyperlink" Target="https://www.sec.gov/ix?doc=/Archives/edgar/data/1671502/000110465926026410/tm268576d1_8k.htm" TargetMode="External"/><Relationship Id="rId11" Type="http://schemas.openxmlformats.org/officeDocument/2006/relationships/hyperlink" Target="https://www.sec.gov/ix?doc=/Archives/edgar/data/1671502/000110465926070501/tm2616916d1_8k.htm" TargetMode="External"/><Relationship Id="rId12" Type="http://schemas.openxmlformats.org/officeDocument/2006/relationships/hyperlink" Target="https://www.sec.gov/ix?doc=/Archives/edgar/data/1671502/000110465926076822/tm2618505d1_8k.htm" TargetMode="External"/><Relationship Id="rId13" Type="http://schemas.openxmlformats.org/officeDocument/2006/relationships/hyperlink" Target="https://www.sec.gov/ix?doc=/Archives/edgar/data/1671502/000110465926099239/tm2623719d1_8k.htm" TargetMode="External"/><Relationship Id="rId14" Type="http://schemas.openxmlformats.org/officeDocument/2006/relationships/hyperlink" Target="https://www.sec.gov/ix?doc=/Archives/edgar/data/1671502/000110465926102917/tm2624258d1_8k.htm" TargetMode="External"/><Relationship Id="rId15" Type="http://schemas.openxmlformats.org/officeDocument/2006/relationships/hyperlink" Target="https://www.sec.gov/ix?doc=/Archives/edgar/data/1671502/000110465926106705/tm2625203d1_8k.htm" TargetMode="External"/><Relationship Id="rId16" Type="http://schemas.openxmlformats.org/officeDocument/2006/relationships/hyperlink" Target="https://www.sec.gov/ix?doc=/Archives/edgar/data/1671502/000110465926109639/tm2625948d1_8k.htm" TargetMode="External"/><Relationship Id="rId17" Type="http://schemas.openxmlformats.org/officeDocument/2006/relationships/hyperlink" Target="https://www.sec.gov/Archives/edgar/data/1671502/000110465926035251/qnrx-20251231xex4d17.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14812</Words>
  <Characters>79488</Characters>
  <CharactersWithSpaces>94390</CharactersWithSpaces>
  <Paragraphs>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