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437515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right="2420" w:firstLine="8"/>
        <w:spacing w:after="0" w:line="342" w:lineRule="auto"/>
        <w:tabs>
          <w:tab w:leader="none" w:pos="17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6" w:lineRule="exact"/>
        <w:rPr>
          <w:sz w:val="24"/>
          <w:szCs w:val="24"/>
          <w:color w:val="auto"/>
        </w:rPr>
      </w:pPr>
    </w:p>
    <w:p>
      <w:pPr>
        <w:ind w:right="2420" w:firstLine="8"/>
        <w:spacing w:after="0" w:line="352" w:lineRule="auto"/>
        <w:tabs>
          <w:tab w:leader="none" w:pos="171"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 to __________</w:t>
      </w:r>
    </w:p>
    <w:p>
      <w:pPr>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Commission file number: 001-37846</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QUOIN PHARMACEUTICALS LTD.</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of Israel</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4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92-2593104</w:t>
            </w:r>
          </w:p>
        </w:tc>
        <w:tc>
          <w:tcPr>
            <w:tcW w:w="0" w:type="dxa"/>
            <w:vAlign w:val="bottom"/>
          </w:tcPr>
          <w:p>
            <w:pPr>
              <w:spacing w:after="0"/>
              <w:rPr>
                <w:sz w:val="1"/>
                <w:szCs w:val="1"/>
                <w:color w:val="auto"/>
              </w:rPr>
            </w:pPr>
          </w:p>
        </w:tc>
      </w:tr>
      <w:tr>
        <w:trPr>
          <w:trHeight w:val="173"/>
        </w:trPr>
        <w:tc>
          <w:tcPr>
            <w:tcW w:w="4960" w:type="dxa"/>
            <w:vAlign w:val="bottom"/>
            <w:tcBorders>
              <w:bottom w:val="single" w:sz="8" w:color="auto"/>
            </w:tcBorders>
          </w:tcPr>
          <w:p>
            <w:pPr>
              <w:spacing w:after="0"/>
              <w:rPr>
                <w:sz w:val="15"/>
                <w:szCs w:val="15"/>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40" w:type="dxa"/>
            <w:vAlign w:val="bottom"/>
          </w:tcPr>
          <w:p>
            <w:pPr>
              <w:spacing w:after="0"/>
              <w:rPr>
                <w:sz w:val="10"/>
                <w:szCs w:val="10"/>
                <w:color w:val="auto"/>
              </w:rPr>
            </w:pPr>
          </w:p>
        </w:tc>
        <w:tc>
          <w:tcPr>
            <w:tcW w:w="4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90"/>
        </w:trPr>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0" w:type="dxa"/>
            <w:vAlign w:val="bottom"/>
          </w:tcPr>
          <w:p>
            <w:pPr>
              <w:spacing w:after="0"/>
              <w:rPr>
                <w:sz w:val="16"/>
                <w:szCs w:val="16"/>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42127 Pleasant Forest Court</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Ashburn, VA</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20148-7349</w:t>
            </w:r>
          </w:p>
        </w:tc>
        <w:tc>
          <w:tcPr>
            <w:tcW w:w="0" w:type="dxa"/>
            <w:vAlign w:val="bottom"/>
          </w:tcPr>
          <w:p>
            <w:pPr>
              <w:spacing w:after="0"/>
              <w:rPr>
                <w:sz w:val="1"/>
                <w:szCs w:val="1"/>
                <w:color w:val="auto"/>
              </w:rPr>
            </w:pPr>
          </w:p>
        </w:tc>
      </w:tr>
      <w:tr>
        <w:trPr>
          <w:trHeight w:val="136"/>
        </w:trPr>
        <w:tc>
          <w:tcPr>
            <w:tcW w:w="4960" w:type="dxa"/>
            <w:vAlign w:val="bottom"/>
            <w:tcBorders>
              <w:bottom w:val="single" w:sz="8" w:color="auto"/>
            </w:tcBorders>
            <w:vMerge w:val="continue"/>
          </w:tcPr>
          <w:p>
            <w:pPr>
              <w:spacing w:after="0"/>
              <w:rPr>
                <w:sz w:val="11"/>
                <w:szCs w:val="11"/>
                <w:color w:val="auto"/>
              </w:rPr>
            </w:pPr>
          </w:p>
        </w:tc>
        <w:tc>
          <w:tcPr>
            <w:tcW w:w="340" w:type="dxa"/>
            <w:vAlign w:val="bottom"/>
          </w:tcPr>
          <w:p>
            <w:pPr>
              <w:spacing w:after="0"/>
              <w:rPr>
                <w:sz w:val="11"/>
                <w:szCs w:val="11"/>
                <w:color w:val="auto"/>
              </w:rPr>
            </w:pPr>
          </w:p>
        </w:tc>
        <w:tc>
          <w:tcPr>
            <w:tcW w:w="46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0" w:type="dxa"/>
            <w:vAlign w:val="bottom"/>
          </w:tcPr>
          <w:p>
            <w:pPr>
              <w:spacing w:after="0"/>
              <w:rPr>
                <w:sz w:val="15"/>
                <w:szCs w:val="15"/>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(703) 980-4182</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Name of each exchange on which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American Depositary Shares, each representing thirty-five (35) Ordinary</w:t>
            </w:r>
          </w:p>
        </w:tc>
        <w:tc>
          <w:tcPr>
            <w:tcW w:w="200" w:type="dxa"/>
            <w:vAlign w:val="bottom"/>
          </w:tcPr>
          <w:p>
            <w:pPr>
              <w:spacing w:after="0"/>
              <w:rPr>
                <w:sz w:val="10"/>
                <w:szCs w:val="10"/>
                <w:color w:val="auto"/>
              </w:rPr>
            </w:pPr>
          </w:p>
        </w:tc>
        <w:tc>
          <w:tcPr>
            <w:tcW w:w="31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QNRX</w:t>
            </w:r>
          </w:p>
        </w:tc>
        <w:tc>
          <w:tcPr>
            <w:tcW w:w="200" w:type="dxa"/>
            <w:vAlign w:val="bottom"/>
          </w:tcPr>
          <w:p>
            <w:pPr>
              <w:spacing w:after="0"/>
              <w:rPr>
                <w:sz w:val="10"/>
                <w:szCs w:val="10"/>
                <w:color w:val="auto"/>
              </w:rPr>
            </w:pPr>
          </w:p>
        </w:tc>
        <w:tc>
          <w:tcPr>
            <w:tcW w:w="20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 no par value per share</w:t>
            </w:r>
          </w:p>
        </w:tc>
        <w:tc>
          <w:tcPr>
            <w:tcW w:w="2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Ordinary Shares, no par value per share*</w:t>
            </w:r>
          </w:p>
        </w:tc>
        <w:tc>
          <w:tcPr>
            <w:tcW w:w="2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5" w:lineRule="exact"/>
        <w:rPr>
          <w:sz w:val="24"/>
          <w:szCs w:val="24"/>
          <w:color w:val="auto"/>
        </w:rPr>
      </w:pPr>
    </w:p>
    <w:p>
      <w:pPr>
        <w:ind w:left="340" w:hanging="332"/>
        <w:spacing w:after="0" w:line="261" w:lineRule="auto"/>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for trading, but only in connection with the registration of the American Depositary Shares (“ADSs”) pursuant to requirements of the Securities and Exchange Commission.</w:t>
      </w:r>
    </w:p>
    <w:p>
      <w:pPr>
        <w:spacing w:after="0" w:line="41"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5"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960" w:type="dxa"/>
            <w:vAlign w:val="bottom"/>
          </w:tcPr>
          <w:p>
            <w:pPr>
              <w:ind w:left="16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w:t>
            </w:r>
          </w:p>
        </w:tc>
        <w:tc>
          <w:tcPr>
            <w:tcW w:w="1720" w:type="dxa"/>
            <w:vAlign w:val="bottom"/>
          </w:tcPr>
          <w:p>
            <w:pPr>
              <w:ind w:left="1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960" w:type="dxa"/>
            <w:vAlign w:val="bottom"/>
          </w:tcPr>
          <w:p>
            <w:pPr>
              <w:ind w:left="16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w:t>
            </w:r>
          </w:p>
        </w:tc>
        <w:tc>
          <w:tcPr>
            <w:tcW w:w="1720" w:type="dxa"/>
            <w:vAlign w:val="bottom"/>
          </w:tcPr>
          <w:p>
            <w:pPr>
              <w:ind w:left="1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4960" w:type="dxa"/>
            <w:vAlign w:val="bottom"/>
          </w:tcPr>
          <w:p>
            <w:pPr>
              <w:ind w:left="1600"/>
              <w:spacing w:after="0" w:line="141" w:lineRule="exact"/>
              <w:rPr>
                <w:sz w:val="20"/>
                <w:szCs w:val="20"/>
                <w:color w:val="auto"/>
              </w:rPr>
            </w:pPr>
            <w:r>
              <w:rPr>
                <w:rFonts w:ascii="MS PGothic" w:cs="MS PGothic" w:eastAsia="MS PGothic" w:hAnsi="MS PGothic"/>
                <w:sz w:val="14"/>
                <w:szCs w:val="14"/>
                <w:color w:val="auto"/>
              </w:rPr>
              <w:t>☐</w:t>
            </w:r>
          </w:p>
        </w:tc>
        <w:tc>
          <w:tcPr>
            <w:tcW w:w="1720" w:type="dxa"/>
            <w:vAlign w:val="bottom"/>
          </w:tcPr>
          <w:p>
            <w:pPr>
              <w:spacing w:after="0"/>
              <w:rPr>
                <w:sz w:val="21"/>
                <w:szCs w:val="21"/>
                <w:color w:val="auto"/>
              </w:rPr>
            </w:pPr>
          </w:p>
        </w:tc>
      </w:tr>
    </w:tbl>
    <w:p>
      <w:pPr>
        <w:spacing w:after="0" w:line="33" w:lineRule="exact"/>
        <w:rPr>
          <w:sz w:val="24"/>
          <w:szCs w:val="24"/>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As of May 5, 2026, the registrant had 70,294,615 ordinary shares, no par value per share, outstanding, and 2,008,417 ADSs outstanding (assuming all ordinary shares are represented by ADSs), with each ADS representing thirty-five (35)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923925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32385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74930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gridSpan w:val="5"/>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QUOIN PHARMACEUTICALS LTD.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60" w:type="dxa"/>
            <w:vAlign w:val="bottom"/>
            <w:gridSpan w:val="5"/>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5800" w:type="dxa"/>
            <w:vAlign w:val="bottom"/>
            <w:gridSpan w:val="16"/>
            <w:vMerge w:val="restart"/>
          </w:tcPr>
          <w:p>
            <w:pPr>
              <w:spacing w:after="0" w:line="182"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560" w:type="dxa"/>
            <w:vAlign w:val="bottom"/>
            <w:gridSpan w:val="2"/>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800" w:type="dxa"/>
            <w:vAlign w:val="bottom"/>
            <w:tcBorders>
              <w:bottom w:val="single" w:sz="8" w:color="0000EE"/>
            </w:tcBorders>
            <w:gridSpan w:val="16"/>
            <w:vMerge w:val="continue"/>
          </w:tcPr>
          <w:p>
            <w:pPr>
              <w:spacing w:after="0"/>
              <w:rPr>
                <w:sz w:val="13"/>
                <w:szCs w:val="13"/>
                <w:color w:val="auto"/>
              </w:rPr>
            </w:pPr>
          </w:p>
        </w:tc>
        <w:tc>
          <w:tcPr>
            <w:tcW w:w="3560" w:type="dxa"/>
            <w:vAlign w:val="bottom"/>
            <w:gridSpan w:val="2"/>
            <w:vMerge w:val="continue"/>
          </w:tcPr>
          <w:p>
            <w:pPr>
              <w:spacing w:after="0"/>
              <w:rPr>
                <w:sz w:val="13"/>
                <w:szCs w:val="13"/>
                <w:color w:val="auto"/>
              </w:rPr>
            </w:pPr>
          </w:p>
        </w:tc>
        <w:tc>
          <w:tcPr>
            <w:tcW w:w="5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426"/>
        </w:trPr>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21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Item 1. Financial Statements.</w:t>
            </w:r>
          </w:p>
        </w:tc>
        <w:tc>
          <w:tcPr>
            <w:tcW w:w="580" w:type="dxa"/>
            <w:vAlign w:val="bottom"/>
            <w:tcBorders>
              <w:top w:val="single" w:sz="8" w:color="0000EE"/>
            </w:tcBorders>
            <w:gridSpan w:val="3"/>
          </w:tcPr>
          <w:p>
            <w:pPr>
              <w:spacing w:after="0"/>
              <w:rPr>
                <w:sz w:val="24"/>
                <w:szCs w:val="24"/>
                <w:color w:val="auto"/>
              </w:rPr>
            </w:pPr>
          </w:p>
        </w:tc>
        <w:tc>
          <w:tcPr>
            <w:tcW w:w="650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0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2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4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422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3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680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412"/>
        </w:trPr>
        <w:tc>
          <w:tcPr>
            <w:tcW w:w="25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PART II-OTHER INFORMATION</w:t>
            </w:r>
          </w:p>
        </w:tc>
        <w:tc>
          <w:tcPr>
            <w:tcW w:w="680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1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6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280" w:type="dxa"/>
            <w:vAlign w:val="bottom"/>
            <w:tcBorders>
              <w:top w:val="single" w:sz="8" w:color="0000EE"/>
            </w:tcBorders>
            <w:gridSpan w:val="2"/>
          </w:tcPr>
          <w:p>
            <w:pPr>
              <w:spacing w:after="0"/>
              <w:rPr>
                <w:sz w:val="24"/>
                <w:szCs w:val="24"/>
                <w:color w:val="auto"/>
              </w:rPr>
            </w:pPr>
          </w:p>
        </w:tc>
        <w:tc>
          <w:tcPr>
            <w:tcW w:w="7260" w:type="dxa"/>
            <w:vAlign w:val="bottom"/>
            <w:gridSpan w:val="10"/>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1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400" w:type="dxa"/>
            <w:vAlign w:val="bottom"/>
            <w:tcBorders>
              <w:top w:val="single" w:sz="8" w:color="0000EE"/>
              <w:bottom w:val="single" w:sz="8" w:color="0000EE"/>
            </w:tcBorders>
            <w:gridSpan w:val="11"/>
          </w:tcPr>
          <w:p>
            <w:pPr>
              <w:ind w:left="40"/>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tcPr>
          <w:p>
            <w:pPr>
              <w:spacing w:after="0"/>
              <w:rPr>
                <w:sz w:val="24"/>
                <w:szCs w:val="24"/>
                <w:color w:val="auto"/>
              </w:rPr>
            </w:pPr>
          </w:p>
        </w:tc>
        <w:tc>
          <w:tcPr>
            <w:tcW w:w="424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8660" w:type="dxa"/>
            <w:vAlign w:val="bottom"/>
            <w:gridSpan w:val="16"/>
          </w:tcPr>
          <w:p>
            <w:pPr>
              <w:ind w:left="40"/>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840" w:type="dxa"/>
            <w:vAlign w:val="bottom"/>
            <w:tcBorders>
              <w:top w:val="single" w:sz="8" w:color="0000EE"/>
            </w:tcBorders>
            <w:gridSpan w:val="8"/>
          </w:tcPr>
          <w:p>
            <w:pPr>
              <w:ind w:left="40"/>
              <w:spacing w:after="0"/>
              <w:rPr>
                <w:sz w:val="20"/>
                <w:szCs w:val="20"/>
                <w:color w:val="auto"/>
              </w:rPr>
            </w:pPr>
            <w:r>
              <w:rPr>
                <w:rFonts w:ascii="Times New Roman" w:cs="Times New Roman" w:eastAsia="Times New Roman" w:hAnsi="Times New Roman"/>
                <w:sz w:val="18"/>
                <w:szCs w:val="18"/>
                <w:color w:val="0000EE"/>
              </w:rPr>
              <w:t>Other Information.</w:t>
            </w:r>
          </w:p>
        </w:tc>
        <w:tc>
          <w:tcPr>
            <w:tcW w:w="682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680" w:type="dxa"/>
            <w:vAlign w:val="bottom"/>
            <w:tcBorders>
              <w:top w:val="single" w:sz="8" w:color="0000EE"/>
              <w:bottom w:val="single" w:sz="8" w:color="0000EE"/>
            </w:tcBorders>
            <w:gridSpan w:val="3"/>
          </w:tcPr>
          <w:p>
            <w:pPr>
              <w:ind w:left="40"/>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24"/>
                <w:szCs w:val="24"/>
                <w:color w:val="auto"/>
              </w:rPr>
            </w:pPr>
          </w:p>
        </w:tc>
        <w:tc>
          <w:tcPr>
            <w:tcW w:w="728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412"/>
        </w:trPr>
        <w:tc>
          <w:tcPr>
            <w:tcW w:w="93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647"/>
        </w:trPr>
        <w:tc>
          <w:tcPr>
            <w:tcW w:w="18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Quarterly Report on Form 10-Q (the “Quarterly Report”) to the terms “Quoin,” “Quoin Ltd.,” the “Company,” “us,” “we”, “our” and the “Registrant” refer to Quoin Pharmaceuticals Ltd., an Israeli company, and its consolidated subsidiaries. In this Quarterly Report, the U.S. Securities and Exchange Commission is referred to as the “SEC”, the Securities Act of 1933, as amended, is referred to as the “Securities Act” and the Securities Exchange Act of 1934, as amended, is referred to as the “Exchange Act.”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included in this Quarterly Report may be deemed to be “forward-looking statements” within the meaning of the Private Securities Litigation Reform Act of 1995 and other securities laws. Forward-looking statements are often characterized by the use of forward-looking terminology such as “may,” “will,” “expect,” “anticipate,” “estimate,” “continue,” “believe,” “should,” “intend,” “project” or other similar words, but are not the only way these statements are identified.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products, and all statements (other than statements of historical facts) that address activities, events or developments that we intend, expect, project, believe or anticipate will or may occur in the future.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developments and business decisions to differ materially from those anticipated in these forward-looking statements include, among other things:</w:t>
      </w:r>
    </w:p>
    <w:p>
      <w:pPr>
        <w:spacing w:after="0" w:line="162"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the difficulties encountered by a small developing company;</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losses and inability to fund our business from operations may require us in the future to obtain additional capital the terms of which may not be on acceptable terms, or at all;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raise additional capital to fund our operations in order to continue as a going concern;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revenue and potential inability to be profitable;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of cash flows and inability to meet working capital needs;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October 2025 private placement may make it difficult for us to procure additional financing;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favorable pre-clinical and clinical trial results;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potential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costs or delays associated with unsuccessful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predict the timing of revenue from sales of a future product;</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regulatory requirements and future developmental and regulatory challenges we will still face even if we obtain approval for a product candidate;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orphan drug designation or obtain orphan drug exclusivity for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oversight of programs or product candidates that may be more profitable or more successful;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processes may not be validated and our methodology may not be accepted by the scientific community;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conduct clinical trials, because of difficulties enrolling patients or other reasons;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demands of being a publicly traded company may harm our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resulting from failure to maintain effective internal controls;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applicable continued listing requirements of Nasdaq;</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impact on our securities price and trading volume if securities or industry analysts do not publish reports about us or if they adversely change their recommendations about our business;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volatility of the market price for our ADSs;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dilution of our shareholders’ potential ownership due to future issuances of share capital;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holders of ADSs to act through the depositary to exercise their rights;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limitations on ADS holders with respect to the transfer of their ADSs;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securities class action litigation;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described in Part I – Item 1A. Risk Factors in our Annual Report on Form 10-K for the year ended December 31, 2025 (“Form 10-K”), as well as our subsequent reports filed with the SEC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are urged to carefully review and consider the various disclosures made throughout this Quarterly Report which are designed to advise interested parties of the risks and factors that may affect our business, financial condition, results of operations and prospects.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put undue reliance on any forward-looking statements. Although the forward-looking statements in this Quarterly Report are based on our beliefs, assumptions and expectations, taking into account all information currently available to us, we cannot guarantee future transactions, results, performance, achievements or outcomes. No assurance can be made that the expectations reflected in our forward-looking statements will be attained, or that deviations from them will not be material and adverse. We undertake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QUOIN PHARMACEUTICALS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80" w:type="dxa"/>
            <w:vAlign w:val="bottom"/>
            <w:vMerge w:val="restart"/>
          </w:tcPr>
          <w:p>
            <w:pPr>
              <w:ind w:left="70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60" w:type="dxa"/>
            <w:vAlign w:val="bottom"/>
            <w:gridSpan w:val="2"/>
            <w:vMerge w:val="continue"/>
          </w:tcPr>
          <w:p>
            <w:pPr>
              <w:spacing w:after="0"/>
              <w:rPr>
                <w:sz w:val="15"/>
                <w:szCs w:val="15"/>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3,124,523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10,918,778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14,927,165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1,291,256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15,334,557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20,007,235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358,334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1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15,692,891</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20,390,569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1,776,231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 and financing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1,146,251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to officers - short term</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5,346,026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Due to officers - long term</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1,573,733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1,723,733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6,919,759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Ordinary shares, no par value per share, 5,000,000,000 authorized at March 31, 2026 and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2025, respectively - 68,642,195 (1,961,206 ADS’s) ordinary shares issued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outstanding at March 31, 2026 and 52,441,360 (1,498,325 ADS’s) ordinary shares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at December 31, 2025</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84,741,473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84,090,966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(75,968,182)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(70,970,447)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8,773,132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13,119,906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15,692,891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20,390,569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footnotes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QUOIN PHARMACEUTICALS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Other Comprehensive Loss (Unaudited)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60" w:type="dxa"/>
            <w:vAlign w:val="bottom"/>
            <w:vMerge w:val="restart"/>
          </w:tcPr>
          <w:p>
            <w:pPr>
              <w:ind w:left="74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1,697,448</w:t>
            </w:r>
          </w:p>
        </w:tc>
        <w:tc>
          <w:tcPr>
            <w:tcW w:w="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3,433,762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5,131,210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and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(gain)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Realized and accrued interest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(146,775)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other income</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(133,475)</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(4,997,735)</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(4,997,281)</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ADS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Loss per ADS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Fully-diluted</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ADS’s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2,830,970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Fully-diluted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2,830,970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footnotes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QUOIN PHARMACEUTICALS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gridSpan w:val="2"/>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13"/>
                <w:szCs w:val="13"/>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3"/>
                <w:szCs w:val="13"/>
                <w:color w:val="auto"/>
              </w:rPr>
            </w:pP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gridSpan w:val="2"/>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continue"/>
          </w:tcPr>
          <w:p>
            <w:pPr>
              <w:spacing w:after="0"/>
              <w:rPr>
                <w:sz w:val="12"/>
                <w:szCs w:val="12"/>
                <w:color w:val="auto"/>
              </w:rPr>
            </w:pP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ADS’s</w:t>
            </w:r>
          </w:p>
        </w:tc>
        <w:tc>
          <w:tcPr>
            <w:tcW w:w="26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20" w:type="dxa"/>
            <w:vAlign w:val="bottom"/>
            <w:gridSpan w:val="2"/>
            <w:vMerge w:val="continue"/>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8,948,164</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255,661</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64,370,465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(55,165,792)</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9,204,673</w:t>
            </w:r>
          </w:p>
        </w:tc>
        <w:tc>
          <w:tcPr>
            <w:tcW w:w="0" w:type="dxa"/>
            <w:vAlign w:val="bottom"/>
          </w:tcPr>
          <w:p>
            <w:pPr>
              <w:spacing w:after="0"/>
              <w:rPr>
                <w:sz w:val="1"/>
                <w:szCs w:val="1"/>
                <w:color w:val="auto"/>
              </w:rPr>
            </w:pPr>
          </w:p>
        </w:tc>
      </w:tr>
      <w:tr>
        <w:trPr>
          <w:trHeight w:val="148"/>
        </w:trPr>
        <w:tc>
          <w:tcPr>
            <w:tcW w:w="3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(3,812,179)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(3,812,179)</w:t>
            </w:r>
          </w:p>
        </w:tc>
        <w:tc>
          <w:tcPr>
            <w:tcW w:w="0" w:type="dxa"/>
            <w:vAlign w:val="bottom"/>
          </w:tcPr>
          <w:p>
            <w:pPr>
              <w:spacing w:after="0"/>
              <w:rPr>
                <w:sz w:val="1"/>
                <w:szCs w:val="1"/>
                <w:color w:val="auto"/>
              </w:rPr>
            </w:pPr>
          </w:p>
        </w:tc>
      </w:tr>
      <w:tr>
        <w:trPr>
          <w:trHeight w:val="148"/>
        </w:trPr>
        <w:tc>
          <w:tcPr>
            <w:tcW w:w="3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pre-funded warrants and warrants, net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11,637,666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332,505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172,958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172,958</w:t>
            </w:r>
          </w:p>
        </w:tc>
        <w:tc>
          <w:tcPr>
            <w:tcW w:w="0" w:type="dxa"/>
            <w:vAlign w:val="bottom"/>
          </w:tcPr>
          <w:p>
            <w:pPr>
              <w:spacing w:after="0"/>
              <w:rPr>
                <w:sz w:val="1"/>
                <w:szCs w:val="1"/>
                <w:color w:val="auto"/>
              </w:rPr>
            </w:pPr>
          </w:p>
        </w:tc>
      </w:tr>
      <w:tr>
        <w:trPr>
          <w:trHeight w:val="148"/>
        </w:trPr>
        <w:tc>
          <w:tcPr>
            <w:tcW w:w="3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360,357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360,357</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20,585,830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588,166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64,903,780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(58,977,971)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5,925,809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920" w:type="dxa"/>
            <w:vAlign w:val="bottom"/>
            <w:gridSpan w:val="2"/>
            <w:vMerge w:val="restart"/>
          </w:tcPr>
          <w:p>
            <w:pPr>
              <w:ind w:left="37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24"/>
                <w:szCs w:val="24"/>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24"/>
                <w:szCs w:val="24"/>
                <w:color w:val="auto"/>
              </w:rPr>
            </w:pP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2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gridSpan w:val="2"/>
            <w:vMerge w:val="restart"/>
          </w:tcPr>
          <w:p>
            <w:pPr>
              <w:ind w:left="37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continue"/>
          </w:tcPr>
          <w:p>
            <w:pPr>
              <w:spacing w:after="0"/>
              <w:rPr>
                <w:sz w:val="12"/>
                <w:szCs w:val="12"/>
                <w:color w:val="auto"/>
              </w:rPr>
            </w:pP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ADS’s</w:t>
            </w:r>
          </w:p>
        </w:tc>
        <w:tc>
          <w:tcPr>
            <w:tcW w:w="26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20" w:type="dxa"/>
            <w:vAlign w:val="bottom"/>
            <w:gridSpan w:val="2"/>
            <w:vMerge w:val="continue"/>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2026</w:t>
            </w:r>
          </w:p>
        </w:tc>
        <w:tc>
          <w:tcPr>
            <w:tcW w:w="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52,441,360</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1,498,325</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84,090,966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(70,970,447)</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(613)</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13,119,906</w:t>
            </w:r>
          </w:p>
        </w:tc>
        <w:tc>
          <w:tcPr>
            <w:tcW w:w="0" w:type="dxa"/>
            <w:vAlign w:val="bottom"/>
          </w:tcPr>
          <w:p>
            <w:pPr>
              <w:spacing w:after="0"/>
              <w:rPr>
                <w:sz w:val="1"/>
                <w:szCs w:val="1"/>
                <w:color w:val="auto"/>
              </w:rPr>
            </w:pPr>
          </w:p>
        </w:tc>
      </w:tr>
      <w:tr>
        <w:trPr>
          <w:trHeight w:val="148"/>
        </w:trPr>
        <w:tc>
          <w:tcPr>
            <w:tcW w:w="3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(4,997,735)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(4,997,735)</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pre-funded warrants and warrants, net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16,200,835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462,881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205,982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205,982</w:t>
            </w:r>
          </w:p>
        </w:tc>
        <w:tc>
          <w:tcPr>
            <w:tcW w:w="0" w:type="dxa"/>
            <w:vAlign w:val="bottom"/>
          </w:tcPr>
          <w:p>
            <w:pPr>
              <w:spacing w:after="0"/>
              <w:rPr>
                <w:sz w:val="1"/>
                <w:szCs w:val="1"/>
                <w:color w:val="auto"/>
              </w:rPr>
            </w:pPr>
          </w:p>
        </w:tc>
      </w:tr>
      <w:tr>
        <w:trPr>
          <w:trHeight w:val="148"/>
        </w:trPr>
        <w:tc>
          <w:tcPr>
            <w:tcW w:w="3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444,525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444,525</w:t>
            </w:r>
          </w:p>
        </w:tc>
        <w:tc>
          <w:tcPr>
            <w:tcW w:w="0" w:type="dxa"/>
            <w:vAlign w:val="bottom"/>
          </w:tcPr>
          <w:p>
            <w:pPr>
              <w:spacing w:after="0"/>
              <w:rPr>
                <w:sz w:val="1"/>
                <w:szCs w:val="1"/>
                <w:color w:val="auto"/>
              </w:rPr>
            </w:pPr>
          </w:p>
        </w:tc>
      </w:tr>
      <w:tr>
        <w:trPr>
          <w:trHeight w:val="148"/>
        </w:trPr>
        <w:tc>
          <w:tcPr>
            <w:tcW w:w="3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Cumulative Translation Adjustment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142"/>
        </w:trPr>
        <w:tc>
          <w:tcPr>
            <w:tcW w:w="38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68,642,195</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1,961,206</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84,741,473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(75,968,182)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(159)</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8,773,132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footnotes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QUOIN PHARMACEUTICALS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20" w:type="dxa"/>
            <w:vAlign w:val="bottom"/>
            <w:vMerge w:val="restart"/>
          </w:tcPr>
          <w:p>
            <w:pPr>
              <w:ind w:left="7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24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tcBorders>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(4,997,735)</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Realized and unrealized gain and accrued interest on investments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accounts payable and accrued expenses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Decrease (increase) in prepaid expenses and other assets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(4,868,923)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(980,685)</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redemption of investments</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5,099,599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4,118,914</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 of amounts due to officers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Proceeds from exercise of warrants, net</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205,982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on changes on cash</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3,818,096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3,623,343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3,124,523</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footnotes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Quoin Pharmaceuticals Ltd. (“Quoin Ltd.,” or the “Company”), formerly known as Cellect Biotechnology Ltd. (“Cellect”), is the holding company for Quoin Pharmaceuticals, Inc., a Delaware corporation (“Quoin Inc.”). Quoin Inc. was incorporated in Delaware on March 5, 2018. Quoin Inc. is the holding company for Quoin Therapeutics Ireland Limited (“Quoin Ireland”), an Irish private company limited by shares. Quoin Ireland was incorporated in Ireland on November 26, 2024. On October 28, 2021, Cellect completed the business combination with Quoin Inc., with Quoin Inc. surviving as a wholly-owned subsidiary of Cellect (the “Merger”). Immediately after completion of the Merger, Cellect changed its name to “Quoin Pharmaceuticals Ltd.”</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a late-stage clinical specialty pharmaceutical company focused on the development and commercialization of therapeutic products that treat rare and orphan diseases for which there are currently either no approved or very limited treatments or cures. The Company’s lead product, QRX003, is under clinical development as a potential treatment for Netherton Syndrome (“NS”), a rare hereditary genetic disease. QRX003 is entering pivotal registrational clinical testing under an open Investigational New Drug (“IND”) application with the Food and Drug Administration (“FDA”). The Company has opened six clinical sites in the United States (“US”) along with international sites that are being opened in the UK, Spain, France and the Netherlands. QRX003 is currently being tested in six pediatric NS patients in investigator-initiated studies in Ireland, Austria, the Netherlands and New Zealand. QRX003 is also being developed as a potential treatment for Peeling Skin Syndrome with the first subject being treated in New Zealand. The Company is in the process of expanding this study to include up to an additional five pediatric subjects. The Company has entered into a Research Agreement with the Queensland University of Technology (“QUT”) in Australia, under which the Company has obtained an option for a global license to QRX008 for the potential treatment of scleroderma, as well as a Research Agreement with The School of Pharmacy at University College Cork (“UCC”) for the development of novel topical formulations of rapamycin (sirolimus), QRX009, as potential treatments for a number of rare and orphan diseases for which there are either limited or no approved therapies or cures, including Pachyonychia Congenita, Gorlin Syndrome, Tuberous Sclerosis Complex, microcystic lymphatic malformations, venous malformations and angiofibromas, as well as other indications that the Company is assessing. The Company is planning to initiate an investigator-led clinical study in Pachyonychia Congenita led by Professor Edel O’Toole, Queen Mary University of London as well as additional investigator-led studies in Gorlin Syndrome and Tuberous Sclerosis Complex. In addition, the Company is targeting to submit an IND to the FDA for QRX009 for an additional indication in Q3, 2026. Quoin has also entered into 9 commercial partnerships for QRX003 spanning 61 countries outside of its core commercial territories of the US, Western Europe and Japan. These partnership countries include Canada, Australia/New Zealand, the Middle East, China, Taiwan, Hong Kong, Singapore, Israel, Central and Eastern Europe, Turkey as well as several countries in Latin America. To date, no products have been commercialized and no revenue has been generated by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LIQUIDITY RISKS AND OTHER UNCERTAINTIES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conformity with generally accepted accounting principles in the United States (“U.S. GAAP”) assuming the Company will continue as a going concern. The Company has incurred net losses every year since inception and has an accumulated deficit of approximately $76.0 million at March 31, 2026. The Company has a limited operating history and has historically funded its operations through its founders’ funding expenditures and debt and equity financings. At March 31, 2026, the Company had cash and cash equivalents balances totaling $3.1 million and investments of $10.9 million. These factors raise substantial doubt about the Company’s ability to continue as a going concern.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continue as a going concern is dependent upon the Company’s ability to raise additional funding. There can be no assurance that such funding will be available in sufficient amounts or on terms acceptable to the Company. The accompanying unaudited condensed consolidated financial statements do not include any adjustments relating to the recoverability of the recorded assets or the classification of liabilities that may be necessary should the Company be unable to continue as a going concern.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upon the Company’s current business plans and cash, cash equivalents, and investments on hand, management has concluded that there is substantial doubt about the Company’s ability to continue as a going concern for a period of at least one year from the date of the filing of this Quarterly Report on Form 10-Q. The Company does not expect to generate revenue from product sales unless and until it successfully completes development and obtains marketing approval for one or more of its product candidates, which the Company expects will take a number of years and is subject to significant uncertainty. The Company will need to obtain further funding through public or private offerings of its capital stock, debt financing, pursuant to the exercise of warrants issued to investors in the Company’s prior public and private offerings, collaboration, strategic and/or licensing arrangements or other sources in order to complete the research and development of the Company’s product candidates and to fund the Company’s other operating requirements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until it achieves commercial profitability, if ever. However, the Company may be unable to raise additional funds or enter into such other arrangements when needed on favorable terms or at all. If the Company is unable to obtain additional funding when it becomes necessary, the development of its product candidates will be impacted and the Company would likely be forced to delay, reduce, or terminate some or all of its development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late-stage clinical specialty pharmaceutical companies including, but not limited to, new technological innovations, dependence on key personnel, protection of proprietary technology, compliance with government regulations, product liability, pre-clinical and clinical trial outcome risks, regulatory approval risks, uncertainty of market acceptance and additional financing requirements.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products require approval or clearance from the FDA prior to commencing commercial sales in the United States. There can be no assurance that the Company’s products will receive all of the required approvals or clearances. Approvals or clearances are also required in foreign jurisdictions in which the Company may license or sell its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Company’s products, if approved, will be accepted in the marketplace, nor can there be any assurance that any future products can be developed or manufactured at an acceptable cost and with appropriate performance characteristics, or that such products will be successfully marketed.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dependent on several third party suppliers, in some cases a single source supplier including the contract research organization managing both of the Company’s current clinical studies, the supplier of the active pharmaceutical ingredient (API), as well as the contract manufacturer of the drug product for clinical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GAAP for interim financial information. Accordingly, they do not include all of the information and footnotes required by U.S. GAAP for complete financial statements. In the opinion of management, such statements include all adjustments (consisting only of normal recurring items) which are considered necessary for a fair presentation of the unaudited condensed consolidated financial statements of the Company as of March 31, 2026 and for the three months then ended. The results of operations for the three months ended March 31, 2026 are not necessarily indicative of the operating results for the year or any other period. These unaudited condensed consolidated financial statements should be read in conjunction with the audited financial statements and related disclosures as of December 31, 2025 and for the year then ended which are included in the Company’s Annual Report on Form 10-K, filed with the SEC on March 26,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Quoin Pharmaceuticals Ltd. and its wholly owned subsidiaries. All intercompany transactions and balances are eliminated in consolidation. The functional currency of Quoin Ireland, a wholly-owned subsidiary of the Company, is remeasured into U.S. dollars using the exchange rate in effect at the consolidated balance sheet date. The Company translates the assets and liabilities of its Ireland subsidiary into the United States dollar at the exchange rate in effect on the balance sheet date and those unrealized gains and losses are reported in other comprehensive income. Expenses are remeasured using the average exchange rate in effect during the period. Gains and losses arising from remeasurement of the wholly owned subsidiary’s financial statements are included in the determination of net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financial statements and accompanying notes. Actual results could materially differ from those estimates. Management considers many factors in developing the estimates and assumptions that are used in the preparation of these financial statements including: expected business and operational changes, sensitivity and volatility associated with the assumptions used in developing estimates, and whether historical trends are expected to be representative of future trends. The estimation process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often may yield a range of potentially reasonable estimates of the ultimate future outcomes and management must select an amount that falls within that range of reasonable estimates. Estimates are used in the following areas, among others: settlement of debt or other obligations, stock-based compensation, research and development expense recognition, intangible asset estimated useful lives and impairment assessments, allowances of deferred tax assets, and cash flow assumptions regarding going concern considerations.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operates in one business segment, which includes the business of research and development activities related to the development of therapeutic products that treat rare and orphan diseases for which there are currently very limited or no approved treatments or cures. The determination of a single business segment is consistent with the consolidated financial information regularly provided to the Company’s chief operating decision maker (“CODM”). The Company’s CODM is its Chief Executive Officer, who reviews and evaluates consolidated net loss for purposes of assessing performance, making operating decisions, allocating resources, and planning and forecasting for future periods.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consolidated net loss presented on the Company’s unaudited condensed consolidated statements of operations, see below for disaggregated amounts that comprise research and development expenses: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140" w:type="dxa"/>
            <w:vAlign w:val="bottom"/>
            <w:tcBorders>
              <w:bottom w:val="single" w:sz="8" w:color="auto"/>
            </w:tcBorders>
            <w:gridSpan w:val="5"/>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clinical development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2,483,466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1,697,229</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Personnel related and stock-based compensation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429,418</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228,040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247,492</w:t>
            </w:r>
          </w:p>
        </w:tc>
      </w:tr>
      <w:tr>
        <w:trPr>
          <w:trHeight w:val="228"/>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3,433,763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2,374,139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reports loss per share in accordance with ASC 260-10,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which provides for calculation of “basic” and “diluted” earnings per share. Basic earnings per share includes no dilution and is computed by dividing net income or loss available to shareholders by the weighted average shares outstanding for the period. Diluted earnings per share reflect the potential dilution of securities that could share in the earnings of an entity. The calculation of diluted net earnings (loss) per share gives effect to ordinary shares equivalents; however, other than unexercised prefunded warrants as described below, potential shares are excluded if their effect is anti-dilutive.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the three months ended March 31, 2026 and 2025, </w:t>
      </w:r>
      <w:r>
        <w:rPr>
          <w:rFonts w:ascii="Times New Roman" w:cs="Times New Roman" w:eastAsia="Times New Roman" w:hAnsi="Times New Roman"/>
          <w:sz w:val="18"/>
          <w:szCs w:val="18"/>
          <w:color w:val="212529"/>
        </w:rPr>
        <w:t>the number of shares excluded from the diluted net earnings (loss) 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included </w:t>
      </w:r>
      <w:r>
        <w:rPr>
          <w:rFonts w:ascii="Times New Roman" w:cs="Times New Roman" w:eastAsia="Times New Roman" w:hAnsi="Times New Roman"/>
          <w:sz w:val="18"/>
          <w:szCs w:val="18"/>
          <w:color w:val="000000"/>
        </w:rPr>
        <w:t>outstanding warrants to purchase 8,884,325 ADSs and outstanding stock options to purchase 1,020,618 ADSs, and outstanding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warrants to purchase 1,108,159 ADSs and outstanding stock options to purchase 55,541 ADSs, respectively, as their inclusion in the denominator would be anti-dilutive. For the three months ended March 31, 2026 and 2025, basic and diluted net earnings (loss) per share included 871,710 ADS and 0 ADS respectively issuable with respect to unexercised prefunded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ACCRUED INTEREST AND FINANCING EXPENSE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 2020, Quoin Inc. issued promissory notes (the “2020 Notes”) to certain investors (“2020 Noteholders”). The 2020 Notes were mandatorily convertible into 12 ADSs, subject to adjustment and were converted in 2021. The ADSs issued to the 2020 Noteholders did not include accrued interest. Two of the five 2020 Noteholders received their amount due during the year ended December 31, 2022 and the Company’s estimate of the liability to the remaining three 2020 Noteholders was estimated to be $1,146,000 as of March 31, 2026 and December 31, 2025. Two of the remaining three 2020 Noteholders are related parties to the Company, the aggregate estimated liability to these parties was $339,000 as of March 31, 2026 and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interest expense recognized in both the three month periods ended March 31,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OF FINANCIAL INSTRUMENTS</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applies fair value accounting for all assets and liabilities that are recognized or disclosed at fair value in the financial statements on a recurring basis. Fair value is defined as the price that would be received from selling an asset or paid to transfer a liability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 orderly transaction between market participants at the measurement date. When determining the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For certain instruments, including cash and cash equivalents, accounts payable, and accrued expenses, it was estimated that the carrying amount approximated fair value because of the short maturities of these instruments.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is estimated using various valuation models, which utilize certain inputs and assumptions that market participants would use in pricing the asset or liability. The inputs and assumptions used in valuation models are classified in the fair value hierarchy as follows:</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62"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Level 2: Quoted market prices for similar instruments in an active market; quoted prices for identical or similar assets and liabilities in markets that are not active; and model-derived valuations inputs of which are observable and can be corroborated by market data.</w:t>
      </w:r>
    </w:p>
    <w:p>
      <w:pPr>
        <w:spacing w:after="0" w:line="162"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Level 3: Unobservable inputs and assumptions that are supported by little or no market activity and that are significant to the fair value of the asset and liability. The fair value hierarchy gives the lowest priority to Level 3 inputs.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the appropriate hierarchy levels, the Company analyzes the assets and liabilities that are subject to fair value disclosure. Financial assets and liabilities are classified in their entirety based on the lowest level of input that is significant to their fair value measurement.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assets and liabilities that are measured at fair value on a recurring basis by fair value hierarchy at March 31, 2026 and December 31, 2025 and which are classified as trading securities: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gridSpan w:val="4"/>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Bills and Notes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$ 10,918,778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$ 10,918,778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$ 10,918,778</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$ 10,918,778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6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gridSpan w:val="4"/>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Bills and Notes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$ 14,927,165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$ 14,927,165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$ 14,927,165</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$ 14,927,165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STOCK BASED COMPENSATION</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activities: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4"/>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gridSpan w:val="7"/>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ADS Underlying</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w w:val="97"/>
              </w:rPr>
              <w:t>Terms</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215,957</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42.83</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804,661</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March 31, 2026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1,020,618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14.88</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options at March 31, 2026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intrinsic value of outstanding options at March 31, 2026 was $0.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524"/>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Stock options granted during the three months ended </w:t>
      </w:r>
      <w:r>
        <w:rPr>
          <w:rFonts w:ascii="Times New Roman" w:cs="Times New Roman" w:eastAsia="Times New Roman" w:hAnsi="Times New Roman"/>
          <w:sz w:val="18"/>
          <w:szCs w:val="18"/>
          <w:color w:val="212529"/>
        </w:rPr>
        <w:t>March 31, 2026</w:t>
      </w:r>
      <w:r>
        <w:rPr>
          <w:rFonts w:ascii="Times New Roman" w:cs="Times New Roman" w:eastAsia="Times New Roman" w:hAnsi="Times New Roman"/>
          <w:sz w:val="18"/>
          <w:szCs w:val="18"/>
          <w:color w:val="auto"/>
        </w:rPr>
        <w:t xml:space="preserve"> were valued using the Black-Scholes option-pricing model with the following weighted average assumptions: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4520" w:type="dxa"/>
            <w:vAlign w:val="bottom"/>
            <w:tcBorders>
              <w:bottom w:val="single" w:sz="8" w:color="CCEEFF"/>
            </w:tcBorders>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5"/>
                <w:szCs w:val="15"/>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2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 fair value of option</w:t>
            </w:r>
          </w:p>
        </w:tc>
        <w:tc>
          <w:tcPr>
            <w:tcW w:w="2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based compensation expense was approximately $445,000 ($222,000 included in research and development expense and $223,000 included in general and administrative expenses) in the three months ended March 31, 2026. Stock based compensation expense was approximately $360,000 ($120,000 included in research and development expense and $240,000 included in general and administrative expenses) in the three months ended March 31,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the total unrecognized compensation expense related to non-vested options was approximately $7.3 million and is expected to be recognized over the remaining weighted average service period of approximately 3.7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PREPAID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7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422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R&amp;D costs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920,947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277,808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offering costs (note 13)</w:t>
            </w: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1,291,256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1,261,974</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ACCRUED EXPENSES</w:t>
            </w: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2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are as follows: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422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contract expenses (note 12)</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934,524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Payroll (note 11)</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1,023,295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taxes (note 11)</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391,926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113,966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36,928</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1,823,544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2,538,457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IN-LICENSED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Skinvisible: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2019, Quoin Inc. entered into the Exclusive Licensing Agreement (as amended from time to time, the “License Agreement”) with Skinvisible Pharmaceuticals, Inc. (“Skinvisible”), under which Skinvisible granted the Company an exclusive royalty-bearing license relating to the production and manufacture of prescription drug products related to certain patents held by Skinvisible, including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those related to QRX003 and QRX004. The Company made Skinvisible a one-time non-refundable, non-creditable license fee of $1 million (the “License Fee”). In addition, the Company agreed to pay Skinvisible a single digit royalty percentage of the Company’s net sales revenues for any licensed product covered by the patent rights licensed under the License Agreement. The Company also agreed to pay Skinvisible 25% of any revenues the Company receives as royalties in the event that the Company sublicenses any licensed products to a third party. The License Agreement also requires that the Company make a one-time $5 million payment to Skinvisible upon receiving approval in the U.S. or European Union, whichever occurs first, for the first drug product developed using intellectual property licensed thereunder. There were no milestone or royalty obligations due at March 31, 2026 and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as follows: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9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3"/>
        </w:trPr>
        <w:tc>
          <w:tcPr>
            <w:tcW w:w="406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license – Skinvisible</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8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(616,666)</w:t>
            </w: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8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358,334</w:t>
            </w:r>
          </w:p>
        </w:tc>
        <w:tc>
          <w:tcPr>
            <w:tcW w:w="18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383,334</w:t>
            </w:r>
          </w:p>
        </w:tc>
      </w:tr>
      <w:tr>
        <w:trPr>
          <w:trHeight w:val="20"/>
        </w:trPr>
        <w:tc>
          <w:tcPr>
            <w:tcW w:w="4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amortization expense of approximately $25,000 and $25,000 in the three months ended March 31, 2026 and 2025, respectively. The annual amortization expense expected to be recorded for existing intangible assets for the years 2026 through 2029, is approximately $75,000, $100,000, $100,000 and $83,000,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to Officers/Founders: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limited funding of Quoin Inc. prior to the consummation of the Merger, the compensation, including salary, office and car allowances and other benefits, due to Dr. Myers and Ms. Carter under their respective employment agreements, as well as reimbursement of expenses and other amounts paid by Dr. Myers and Ms. Carter to third parties on behalf of Quoin Inc., were not paid by Quoin Inc. to Dr. Myers and Ms. Carter, and were accrued as indebtedness to Dr. Myers and Ms. Carter. Following the closing of the Merger, Quoin Inc. began making payments of $25,000 per month to each of Dr. Myers and Ms. Carter to repay the above-described non-interest-bearing indebtedness. The Company repaid $75,000 and $75,000 of such indebtedness to Dr. Myers and $75,000 and $75,000 to Ms. Carter in the three months ended March 31, 2026 and 2025, respectively. As of March 31, 2026, approximately $1.3 million and $0.9 million of such indebtedness was outstanding to Dr. Myers and Ms. Carter,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to officers at March 31, 2026 and December 31, 2025 consisted of the following:</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92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3"/>
        </w:trPr>
        <w:tc>
          <w:tcPr>
            <w:tcW w:w="404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other compensation</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2,173,733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2,323,733</w:t>
            </w:r>
          </w:p>
        </w:tc>
      </w:tr>
      <w:tr>
        <w:trPr>
          <w:trHeight w:val="216"/>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Short-term portion</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0"/>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1,573,733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1,723,733</w:t>
            </w:r>
          </w:p>
        </w:tc>
      </w:tr>
      <w:tr>
        <w:trPr>
          <w:trHeight w:val="20"/>
        </w:trPr>
        <w:tc>
          <w:tcPr>
            <w:tcW w:w="4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interest payable on the 2020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RESEARCH AGREEMENTS AND COMMITMENTS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2020, Quoin Inc. entered into a Master Service Agreement with Therapeutics Inc. for the management of the pre - clinical and clinical development of QRX003 for Netherton Syndrome. The initial term of the agreement was three years with automatic one year extensions, and the agreement required the execution of individual work orders. Quoin Inc. may terminate any work order for any reason with 90 days written notice subject to costs incurred through termination and a defined termination fee, unless there is a material breach by Therapeutics Inc. A work order was entered into in June 2022 for the first QRX003 clinical study at an expected estimated cost of approximately $4.4 million. An additional change order was entered into in December 2022 for a second QRX003 clinical study at an expected estimated cost of approximately $830,000. An amended and restated change order for the two studies was entered into in December 2024 at an estimated total remaining cost from August 2024 of approximately $3.6 million for the two studies combined. A further amended and restated change order for the additional studies initiated and planned for 2026 is in preparation between the Company and Therapeutics Inc as of the date of filing of this quarterly report on Form 10-Q. For the three months ended March 31, 2026 and 2025, the Company incurred a research and development expense under these agreements of approximately $1.1 million and $411,000 respectively.</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2021, the Company entered into a research agreement with Queensland University of Technology (QUT) for a pre-clinical research program for the development of a product to treat Netherton Syndrome of approximately $250,000. In May 2022, the Company entered into a second research agreement with QUT for the development of a product to treat Scleroderma of approximately $610,000. Each agreement remains in place until the completion of the research program, which in each case was initially anticipated to be 18 months from execution. For the three months ended March 31, 2026 and 2025, the Company incurred de-minimis research and development costs related to these agreements. In July 2025 the Company announced that, in light of the expected near - term completion of the QRX003 clinical program for Netherton Syndrome, the Company has discontinued the Netherton Syndrome research program with QUT. The Company is planning to schedule a meeting with QUT to discuss the future direction of the Scleroderma research program.</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2024, the Company signed a research agreement with The School of Pharmacy at University College Cork, Ireland (UCC). The scope of the agreement encompasses the development of novel topical formulations of rapamycin (sirolimus) as potential treatments for a number of rare and orphan diseases for which there are currently no approved therapies or cures. Under the terms of the agreement, based on the achievement of certain milestones, the Company will fund up to approximately €567,000 ($655,000) plus VAT over an anticipated 2-1/2 year period to support the UCC research program to investigate the development of a number of topical rapamycin formulations for future development as potential treatments for several rare and orphan diseases. Following completion of the research program, the Company will have the option to advance the clinical development of rapamycin formulations developed by UCC. For the three months ended March 31, 2026 and 2025, the Company incurred a research and development expense under these agreements of approximately $0 and $60,000 respectively.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2026, the Company signed a research agreement with Evestia Clinical Limited for the management of the UK and European clinical development of QRX003 for Netherton Syndrome. The initial term of the agreement is five years and the agreement requires the execution of individual work orders. Quoin Inc. may terminate any work order for any reason with 30 days written notice subject to costs incurred through termination and a defined termination fee, unless there is a material breach by Evestia Clinical Limited. A work order was entered into in March 2026 for the first QRX003 UK and European clinical study at an expected estimated cost of approximately $800,000. For the three months ended March 31, 2026, the Company incurred research and development expenses under this agreement of approximately $64,000.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milestones and Royalties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for asset and in-licensed technology commitments.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SHAREHOLDERS’ EQUITY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2026, certain investors in the October 2025 Private Placement exercised (i) 437,881 October 2025 Pre-Funded Warrants and</w:t>
      </w:r>
    </w:p>
    <w:p>
      <w:pPr>
        <w:spacing w:after="0" w:line="27" w:lineRule="exact"/>
        <w:rPr>
          <w:sz w:val="20"/>
          <w:szCs w:val="20"/>
          <w:color w:val="auto"/>
        </w:rPr>
      </w:pPr>
    </w:p>
    <w:p>
      <w:pPr>
        <w:ind w:left="4880" w:right="2720" w:hanging="4872"/>
        <w:spacing w:after="0" w:line="761" w:lineRule="auto"/>
        <w:tabs>
          <w:tab w:leader="none" w:pos="27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Series H Warrants, resulting in net proceeds to the Company of approximately $206,000.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warrant activities during the three months ended March 31, 2026:</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100" w:type="dxa"/>
            <w:vAlign w:val="bottom"/>
            <w:gridSpan w:val="2"/>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4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4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173"/>
        </w:trPr>
        <w:tc>
          <w:tcPr>
            <w:tcW w:w="474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Per ADS</w:t>
            </w: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December 31, 2025</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10,241,240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Exercised Pre-Funded Warrants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(437,881)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Warrants</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March 31, 2026</w:t>
            </w:r>
          </w:p>
        </w:tc>
        <w:tc>
          <w:tcPr>
            <w:tcW w:w="1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9,756,035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outstanding Warrants expire through 2030, and the outstanding Warrants have an approximate intrinsic value of $5.8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CONTINGENCIES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matters arising in the ordinary course of business. Management is unaware of any matters requiring accrual for related losses in the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LICENSE AGREEMENTS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nine commercial license and supply agreements outstanding, whereby the Company will receive a royalty or other proceeds from the specified product revenues from the licensor, if and when the underlying products are approved and commercialized or sold via compassionate use or early access programs. No royalty revenues have been received through March 31, 2026 from any of these agreements.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thereto included in Part I-Item 1 of this Form 10-Q and the audited financial statements and the other information set forth in the Annual Report on Form 10-K for the year ended December 31, 2025 that we filed with the SEC on March 26, 2026 (the “2025 Form 10-K”). This discussion and other parts of this report contain forward-looking statements that reflect our plans, estimates, beliefs and expectations that involve risks and uncertainties including, but not limited to, those set forth below under “Risk Factors” and elsewhere herein, and those identified under Part I, Item 1A of the 2025 Form 10-K. Our actual results and the timing of events could differ materially from those discussed in these forward-looking statements. See “Cautionary Note Regarding Forward-Looking Statements” in this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 late-stage clinical specialty pharmaceutical company focused on the development and commercialization of therapeutic products that treat rare and orphan diseases for which there are currently either no approved or very limited treatments or cures. Our lead product, QRX003, is under clinical development as a potential treatment for Netherton Syndrome, a rare hereditary genetic disease. QRX003 is entering pivotal registrational clinical testing under an open IND application with the FDA. We have opened six clinical sites in the U.S. along with international sites that are being opened in the UK, Spain, France and the Netherlands. QRX003 is currently being tested in six pediatric NS patients in investigator-initiated studies in Ireland, Austria, the Netherlands and New Zealand. QRX003 is also being developed as a potential treatment for Peeling Skin Syndrome with the first subject being treated in New Zealand. We are in the process of expanding this study to include up to an additional five pediatric subjects. We entered into a Research Agreement with QUT, under which we have obtained an option for a global license to QRX008 for the potential treatment of scleroderma, as well as a Research Agreement with UCC for the development of novel topical formulations of rapamycin (sirolimus), QRX009, as potential treatments for a number of rare and orphan diseases for which there are either limited or no approved therapies or cures, including Pachyonychia Congenita, Gorlin Syndrome, Tuberous Sclerosis Complex, microcystic lymphatic malformations, venous malformations and angiofibromas, as well as other indications that the Company is assessing. We are planning to initiate an investigator-led clinical study in Pachyonychia Congenita led by Professor Edel O’Toole, Queen Mary University of London as well as additional investigator-led studies in Gorlin Syndrome and Tuberous Sclerosis Complex. In addition, we are targeting to submit an IND to the FDA for QRX009 for an additional indication in Q3 2026. We have also entered into 9 commercial partnerships for QRX003 spanning 61 countries outside of our core commercial territories of the U.S., Western Europe and Japan. These partnership countries include Canada, Australia, New Zealand, the Middle East, China, Taiwan, Hong Kong, Singapore, Israel, Central and Eastern Europe, Turkey as well as several countries in Latin America.</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mission is to develop and commercialize proprietary therapeutic drug products that treat rare and orphan diseases, particularly for those diseases where no approved treatment currently exists. To achieve this, we plan to:</w:t>
      </w:r>
    </w:p>
    <w:p>
      <w:pPr>
        <w:spacing w:after="0" w:line="162" w:lineRule="exact"/>
        <w:rPr>
          <w:sz w:val="20"/>
          <w:szCs w:val="20"/>
          <w:color w:val="auto"/>
        </w:rPr>
      </w:pPr>
    </w:p>
    <w:p>
      <w:pPr>
        <w:ind w:left="6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late-stage clinical testing of QRX003 in NS and, if successful, file for marketing approval in the United States, Europe, Japan and the other territories for which we have commercial agreements in place;</w:t>
      </w:r>
    </w:p>
    <w:p>
      <w:pPr>
        <w:spacing w:after="0" w:line="16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to commercialize QRX003 by (i) establishing our own sales infrastructure in the U.S., Europe, and Japan and e(ii) work with our distribution partners to commercialize the product in Canada, Australia/New Zealand, the Middle East, China, Hong Kong, Taiwan, Latin America, Central and Eastern Europe, Turkey and Singapore;</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of QRX003 for Peeling Skin Syndrome and related rare, genetic skin diseases;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clinical testing of topical rapamycin, QRX009, in the selected indications;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business development activities by seeking partnering, licensing, merger and acquisition opportunities or other transactions to further expand our pipeline and drug-development capabilities.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no products have been commercialized and no revenue has been generated. We do not expect to generate revenue from product sales unless and until we successfully complete development and obtain marketing approval for one or more of our product candidates, which we expect will take a number of years and is subject to significant uncertainty. We will need to obtain further funding through public or private offerings of our capital stock, debt financing, pursuant to the exercise of warrants issued to investors in our prior public</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private offerings, collaboration, strategic and/or licensing arrangements or other sources in order to complete the research and development of our product candidates and to fund our other operating requirements. However, we may be unable to raise additional funds or enter into such other arrangements when needed on favorable terms or at all. In addition, any exercise of our outstanding warrants is at the discretion of the warrant holders and is dependent, in part, upon the market price of our ADSs. There can be no assurance that any of our outstanding warrants will ever be in-the-money prior to their expiration and, as such, our outstanding warrants may expire without being exercised. Our failure to obtain additional funding or enter into such other arrangements as and when needed would have a negative impact on our financial condition and our ability to continue our operations. See “Liquidity and Capital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Updates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20, 2026, the Company filed an application for Breakthrough Medicine Designation with the Saudi Food and Drug Authority (SFDA) for QRX003 for the treatment of Netherton Syndrome. The SFDA’s Breakthrough Medicine Designation program is designed to expedite the development, review, and potential availability of medicines that address serious or life-threatening conditions with high unmet medical need and which meet SFDA eligibility requirements. If granted, the designation will allow for accelerated regulatory review and could enable earlier patient access in Saudi Arabia.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27, 2026, the Company filed an application for Orphan Drug Designation (ODD) with the Japanese Ministry of Health, Labour and Welfare (MHLW) for QRX003 for the treatment of Netherton Syndrome. The MHLW’s Orphan Drug Designation program provides orphan status to therapies intended for the treatment, diagnosis, or prevention of rare diseases that affect fewer than 50,000 people in Japan. This designation provides certain benefits, including R&amp;D subsidies, tax credits for qualified clinical testing, reduction of MHLW application fees, priority review and ten years of market exclusivity, if approved.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11, 2026, the FDA granted Fast Track Designations to QRX003 lotion (4%) for the treatment of Netherton Syndrome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25, 2026, the Company provided a clinical and regulatory update from its constructive Type C meeting with U.S. FDA for QRX003 in NS (the “March Type C Meeting Minutes”) and reported that the FDA indicated that a single Phase 3 study may be sufficient to support marketing approval in the US and expressed openness to an alternate study design for Phase 3 that would likely not include a traditional upfront vehicle or placebo control.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2026, the Company provided a clinical and regulatory update for its QRX009 topical rapamycin development program announcing the planned initiation of an investigator-led clinical study in Pachyonychia Congenita led by Professor Edel O’Toole, Queen Mary University of London as well as additional investigator-led studies in Gorlin Syndrome and Tuberous Sclerosis Complex. In addition, the Company is targeting to submit an IND to the FDA for an additional indication in Q3,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current operating expenses consist of two components - research and development expenses, and general and administrative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personnel costs associated with research and development activities, including third-party contractors to perform research, conduct clinical trials and manufacture drug supplies and materials. We utilize outside consultants and third parties to conduct the majority of our research and development, under the supervision of our management team.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research and development expenses may include:</w:t>
      </w:r>
    </w:p>
    <w:p>
      <w:pPr>
        <w:spacing w:after="0" w:line="225" w:lineRule="exact"/>
        <w:rPr>
          <w:sz w:val="20"/>
          <w:szCs w:val="20"/>
          <w:color w:val="auto"/>
        </w:rPr>
      </w:pPr>
    </w:p>
    <w:p>
      <w:pPr>
        <w:ind w:left="680" w:right="2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such as salaries, bonuses and benefits, consultant-related expenses, share-based compensation, overhead - related expenses and travel - related expenses for our research and development personnel;</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as well as consultants that support the implementation of the clinical studies described above;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packaging costs in connection with conducting clinical trials and for stability and other studies required to support the NDA filing as well as manufacturing drug product for commercial launch;</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research and development expenses related to QRX003, QRX009; and other product candidates we may choose to develop</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sponsored research;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commercial launch preparation should one of our products receive regulatory approval.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will continue to be central to our business plan.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be significant over the next several years as personnel and compensation costs increase and we conduct late-stage clinical studies and prepare to seek regulatory approval for QRX003, as we begin clinical studies for QRX009; and for any other future product candidate.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clinical trials of QRX003, QRX009 and any other future product candidate will depend on a variety of factors that include, but are not limited to:</w:t>
      </w:r>
    </w:p>
    <w:p>
      <w:pPr>
        <w:spacing w:after="0" w:line="162" w:lineRule="exact"/>
        <w:rPr>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patient trial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or other studies requested by regulatory agencies;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regulatory approvals;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 and employee - related expenses including non-cash stock-based compensation, professional fees and other corporate expenses. We anticipate that our general and administrative expenses will increase in the future to support our continued research and development activities. These increases will likely include compensation and employee-related expenses including stock-based compensation, increased costs related to the potential hiring of personnel, travel costs and fees to outside consultants, lawyers and accountants.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 (income) consist primarily of interest income and unrealized loss (gain) on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2026 compared to the three months ended March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March 31, 2026,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1,697,448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3,433,762</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2,374,139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5,131,210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3,957,177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(gain)/loss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Realized and accrued interest income</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(146,775)</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(133,475)</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(144,998)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(4,997,735)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(3,812,179)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(1,185,556)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were approximately $1,697,000 and $1,583,000, in the three months ended March 31, 2026 and 2025, respectively, representing an increase of $114,000, or approximately 7.2%. The increase was primarily due to an increase of $72,000 in commercial expenses, $71,000, in payroll and benefits, $50,000 in consulting costs and $40,000 in legal and professional fees, offset by a decrease of $58,000 in board of director fees as a result of the grant of options in lieu of cash compensation for which the expense is recognized over the vesting period of the options, $46,000 in public company costs and non-cash stock-based compensation expense of $17,000.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during the three months ended March 31, 2026 and 2025 were approximately $3,434,000 and $2,374,000, respectively, representing an increase of $1,060,000, or approximately 44.7%. The increase was primarily due to $767,000 in increased external expenditures on our development programs, including work related to the clinical studies for the development of QRX003, an increase of payroll and benefits of $192,000 and $101,000 of non-cash stock-based compensation expense.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amortize licensed or acquired intellectual property over its expected useful life, included in research and development expenses set out above. Amortization of intangible assets was approximately $25,000 and $25,000 in each of the three month periods ended March 31, 2026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had approximately $133,000 in realized and accrued interest income in the three months ended March 31, 2026 from our cash and cash equivalents and investments in marketable debt securities. We had approximately $145,000 in realized and accrued interest income in the three months ended March 31, 2025 from our cash and cash equivalents and investments in marketable debt securities.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incurred net losses every year since inception and had an accumulated deficit of approximately $76.0 million at March 31, 2026. We have a limited operating history and have historically funded our operations through our founders’ funding expenditures and debt and equity financings. We incurred net losses of approximately $5.0 million and negative cash flows from operations of $4.9 million for the three months ended March 31, 2026. At March 31, 2026, we had cash and cash equivalent balances totaling $3.1 million and investments of $10.9 million. Our net losses may fluctuate significantly from quarter-to-quarter and year-to-year, depending on the timing of planned clinical trials and our expenditures on other research and development activities. Based upon our current business plans and cash, cash equivalents and investments on hand, we have concluded that there is substantial doubt about our ability to continue as a going concern for a period of at least one year from the date of the filing of this Quarterly Report on Form 10-Q. In order to address our capital needs, we intend to consider multiple alternatives, including, but not limited to, the sale of additional equity or debt securities or other debt instruments, collaborative, strategic and/or licensing relationships or grants to support our future operations. We do not expect to generate revenue from product sales unless and until we successfully complete development and obtain marketing approval for one or more of our product candidates, which we expect will take a number of years and is subject to significant uncertainty. However, we may be unable to raise additional funds or enter into such other arrangements when needed on favorable terms or at all. In addition, any exercise of our outstanding warrants is at the discretion of the warrant holders and is dependent, in part, upon the market price of our ADSs. There can be no assurance that any of our outstanding warrants will ever be in-the-money prior to their expiration and, as such, our outstanding warrants may expire without being exercised. If we are unable to improve our liquidity position, we may not be able to continue as a going concern. We continue to seek sources of financing to fund our continued operations and research and development programs. If we are unable to obtain additional funding when it becomes necessary, the development of our product candidates will be impacted and we would likely be forced to delay, reduce, or terminate some or all of our development programs or cease operations altogether, all of which could have a material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need to obtain further funding through public or private offerings of our capital stock, debt financing, pursuant to the exercise of warrants issued to investors in our prior public and private offerings, collaboration, strategic and/or licensing arrangements or other sources, the requirements for which will depend on many factors, including:</w:t>
      </w:r>
    </w:p>
    <w:p>
      <w:pPr>
        <w:spacing w:after="0" w:line="176" w:lineRule="exact"/>
        <w:rPr>
          <w:sz w:val="20"/>
          <w:szCs w:val="20"/>
          <w:color w:val="auto"/>
        </w:rPr>
      </w:pPr>
    </w:p>
    <w:p>
      <w:pPr>
        <w:ind w:left="680" w:right="2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rate of progress and costs of our drug development efforts, pre-clinical development activities, the timing of laboratory testing and clinical trials for our product candidates;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preparing for and undergoing regulatory review of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development and commercial manufacturing activities;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associated with commercializing our product candidates, if they receive marketing approval;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operational, financial and management systems;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ADSs;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Adequate additional funding may not be available to us on acceptable terms, or at all. In addition, restrictions under the purchase agreement from our October 2025 private placement may limit our ability to raise capital. If we are unable to raise capital in sufficient amounts or on terms acceptable to us, we may have to significantly delay, scale back or discontinue the development or commercialization of QRX003, any future product candidate, or potentially discontinue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our equity or convertible debt securities, and pursuant to the exercise of the warrants issued to the investors in our prior public and private offerings, the ownership interest of our equity holders will be diluted, and the terms of these securities may include liquidation or other preferences that adversely affect the rights of our equity 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proposed products, or to grant licenses on terms that may not be favorable to us. If we are unable to raise additional funds when needed, we may be required to delay, limit, reduce or terminate our drug development or future commercialization efforts or grant rights to develop and market any future product that we would otherwise prefer to develop and market ourselves.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Statement of Cash Flows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had approximately $14,043,000 in cash and cash equivalents and investments in marketable securities. The table below presents our cash flows for the three month periods ended March 31, 2026 and 2025:</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40" w:type="dxa"/>
            <w:vAlign w:val="bottom"/>
            <w:tcBorders>
              <w:bottom w:val="single" w:sz="8" w:color="auto"/>
            </w:tcBorders>
            <w:gridSpan w:val="5"/>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440" w:type="dxa"/>
            <w:vAlign w:val="bottom"/>
          </w:tcPr>
          <w:p>
            <w:pPr>
              <w:spacing w:after="0"/>
              <w:rPr>
                <w:sz w:val="12"/>
                <w:szCs w:val="12"/>
                <w:color w:val="auto"/>
              </w:rPr>
            </w:pPr>
          </w:p>
        </w:tc>
        <w:tc>
          <w:tcPr>
            <w:tcW w:w="14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(4,868,923)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(2,594,179)</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4,118,914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2,770,000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22,958</w:t>
            </w:r>
          </w:p>
        </w:tc>
      </w:tr>
      <w:tr>
        <w:trPr>
          <w:trHeight w:val="216"/>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fluctuations on cash</w:t>
            </w: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198,779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approximately $4,869,000 and $2,594,000 in the three months ended March 31, 2026 and 2025, respectively. The increase in 2026 was mostly due to an increase in net loss, offset by an increase in stock based compensation, and a decrease in accounts payable and accrued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investment activities was approximately $4,119,000 and $2,770,000 in the three months ended March 31, 2026 and 2025, respectively. The cash provided in investing activities for the three months ended March 31, 2026 consisted of net sales of US Treasury Bills and Notes. The cash provided in investing activities for the three months ended March 31, 2025 consisted of net sales of US Treasury Bills and Notes.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$56,000 for the three months ended March 31, 2026. The net cash provided increased due to the receipt of approximately $206,000 in net proceeds from the exercise of warrants, partially offset by repayments of amounts due to officers of $150,000. Net cash provided by financing activities was approximately $23,000 for the three months ended March 31, 2025. The net cash provided increased due to the receipt of approximately $173,000 in net proceeds from the exercise of warrants, partially offset by repayments of amounts due to officers of $150,000.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Commitments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2019, Quoin Inc. entered into the Licensing Agreement with Skinvisible, under which Skinvisible granted us an exclusive royalty-bearing license relating to the production and manufacture of prescription drug products related to certain patents held by Skinvisible, including those related to QRX003 and QRX004. We made Skinvisible a one-time non-refundable, non-creditable license fee of $1 million (the “License Fee”). In addition, we agreed to pay Skinvisible a single digit royalty percentage of our net sales revenues for any licensed product covered by the patent rights licensed under the License Agreement. We also agreed to pay Skinvisible 25% of any revenues we receive as royalties in the event that we sublicense any licensed products to a third party. The License Agreement also requires that we make a $5 million payment to Skinvisible upon receiving approval in the U.S. or European Union, whichever occurs first, for the first drug product developed using intellectual property licensed thereunder.</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2020, Quoin Inc. entered into a Master Service Agreement with Therapeutics Inc. for the management of the pre-clinical and clinical development of QRX003 for Netherton Syndrome. The initial term of the agreement was three years with automatic one-year extensions, and the agreement required the execution of individual work orders. Quoin Inc. may terminate any work order for any reason with 90 days written notice subject to costs incurred through termination and a defined termination fee, unless there is a material breach by Therapeutics Inc. A work order was entered into in June 2022 for the first QRX003 clinical study at an expected estimated cost of approximately $4.4 million through 2024. An additional change order was entered into in December 2022 for a second QRX003 clinical study at an expected estimated cost of approximately $830,000. An amended and restated change order for the two studies was entered into in December 2024 at an estimated total remaining cost from August 2024 of approximately $3.6 million for the two studies combined. A further amended and restated change order for the additional studies initiated and planned for 2026 is in preparation between the Company and Therapeutics Inc as of the date of filing of this quarterly report on Form 10-Q. For the three months ended March 31, 2026 and 2025, we incurred research and development expenses under these agreements of approximately $1.1 million and $411,000 respectively.</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2021, we entered into a research agreement with Queensland University of Technology (QUT) for a pre-clinical research program for the development of a product to treat Netherton Syndrome of approximately $250,000. In May 2022, we entered into a second research agreement with QUT for the development of a product to treat Scleroderma of approximately $610,000. Each agreement remains in place until the completion of the research program, which in each case was initially anticipated to be 18 months from execution. For the three months ended March 31, 2026 and 2025, we incurred de-minimis research and development costs related to these agreements. In July 2025 we announced that, in light of the expected near-term completion of the QRX003 clinical program for Netherton Syndrome, we have discontinued the Netherton Syndrome research program with QUT. We are planning to schedule a meeting with QUT to discuss the future direction of the Scleroderma research program.</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10, 2024, we entered into a research agreement with The School of Pharmacy at UCC. The scope of the agreement encompasses the development of novel topical formulations of Rapamycin (sirolimus) as potential treatments for a number of rare and orphan diseases for which there are currently very limited or no approved therapies or cures. Under the terms of the agreement, based on the achievement of certain milestones, we will fund up to approximately €567,000 ($655,000) plus VAT over an anticipated 2-1/2 year period to support the UCC research program to investigate the development of a number of topical rapamycin formulations for future development as potential treatments for several rare and orphan diseases. Following completion of the research program, we will have the option to advance the clinical development of rapamycin formulations developed by UCC. Work on this research project commenced in December 2024. For the three months ended March 31, 2026 and 2025, we incurred research and development expenses under these agreements of approximately $0 and $60,000 respectively.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2026, we signed a research agreement with Evestia Clinical Limited for the management of the UK and European clinical development of QRX003 for Netherton Syndrome. The initial term of the agreement is five years and the agreement requires the execution of individual work orders. Quoin Inc. may terminate any work order for any reason with 30 days written notice subject to costs incurred through termination and a defined termination fee, unless there is a material breach by Evestia Clinical Limited. A work order was entered into in March 2026 for the first QRX003 UK and European clinical study at an expected estimated cost of approximately $800,000. For the three months ended March 31, 2026, we incurred research and development expenses under this agreement of approximately $64,000.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the information provided in Item 7, “Management’s Discussion and Analysis of Financial Condition and Results of Operations,” included in our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as amended (the “Exchange Act”) and are not required to provide the information otherwise required under this Item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which are designed to provide reasonable assurance that information required to be disclosed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Our management, with the participation of our Chief Executive Officer and Chief Financial Officer, conducted an evaluation, as of the end of the period covered by this report, of the effectiveness of our disclosure controls and procedures (as defined in Rules 13a-15e under the Exchange Act). Based on that evaluation, our Chief Executive Officer and Chief Financial Officer have concluded that, as of the end of the period covered by this report,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under the Exchange Act) that occurred during the quarter ended March 31, 2026 that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Control systems, no matter how well-conceived and operated, are designed to provide a reasonable, but not an absolute, level of assurance that the objectives of the control system are met. Furthermore,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resulting from error or fraud may occur and not be detected. The Company conducts periodic evaluations of its internal controls to enhance, where necessary, its procedures and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administrative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in our risk factors from the risks previously reported in Part 1, Item 1A, “Risk Factors” of our Form 10-K. You should carefully consider the factors discussed in our Form 10-K,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 We may disclose changes to such factors or disclose additional factors from time to time in our future filings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raise additional capital to fund our operations in order to continue as a going concern.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2026, we had an accumulated deficit of $76.0 million, cash and cash equivalents balances totaling $3.1 million and investments of $10.9 million. Despite our recent financing in October 2025, based upon our current business plans and cash, cash equivalents and investments on hand, we have concluded that there is substantial doubt about our ability to continue as a going concern for a period of at least one year from the date of the filing of this Quarterly Report on Form 10-Q. We will need to raise further capital through the sale of additional equity or debt securities or other debt instruments, strategic relationships or grants, or other arrangements to support our future operations. There can be no assurance that we will be successful in accomplishing these objectives. We do not expect to generate revenue from product sales unless and until we successfully complete development and obtain marketing approval for one or more of our product candidates, which we expect will take a number of years and is subject to significant uncertainty. If we are unable to improve our liquidity position, we may not be able to continue as a going concern. Our ability to continue as a going concern is dependent upon our ability to generate revenue and raise capital from financing transactions. Without such additional capital, we may be required to curtail or cease operations and be required to realize our assets and discharge our liabilities other than in the normal course of business which could cause investors to suffer the loss of all or a substantial portion of their investment.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2026, none of our directors or executive officers adopted or terminated any “Rule 10b5-1 trading arrangement” or “non-Rule 10b5-1 trading arrangement” (as each term is defined in Item 408(a) of Registration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0" w:type="dxa"/>
            <w:vAlign w:val="bottom"/>
          </w:tcPr>
          <w:p>
            <w:pPr>
              <w:spacing w:after="0"/>
              <w:rPr>
                <w:sz w:val="18"/>
                <w:szCs w:val="18"/>
                <w:color w:val="auto"/>
              </w:rPr>
            </w:pPr>
          </w:p>
        </w:tc>
        <w:tc>
          <w:tcPr>
            <w:tcW w:w="3200" w:type="dxa"/>
            <w:vAlign w:val="bottom"/>
            <w:gridSpan w:val="13"/>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FURNISHED</w:t>
            </w:r>
          </w:p>
        </w:tc>
        <w:tc>
          <w:tcPr>
            <w:tcW w:w="0" w:type="dxa"/>
            <w:vAlign w:val="bottom"/>
          </w:tcPr>
          <w:p>
            <w:pPr>
              <w:spacing w:after="0"/>
              <w:rPr>
                <w:sz w:val="1"/>
                <w:szCs w:val="1"/>
                <w:color w:val="auto"/>
              </w:rPr>
            </w:pPr>
          </w:p>
        </w:tc>
      </w:tr>
      <w:tr>
        <w:trPr>
          <w:trHeight w:val="233"/>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tcBorders>
              <w:bottom w:val="single" w:sz="8" w:color="auto"/>
            </w:tcBorders>
            <w:gridSpan w:val="11"/>
          </w:tcPr>
          <w:p>
            <w:pPr>
              <w:ind w:left="9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8"/>
              </w:rPr>
              <w:t>FORM</w:t>
            </w:r>
          </w:p>
        </w:tc>
        <w:tc>
          <w:tcPr>
            <w:tcW w:w="16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HEREWITH</w:t>
            </w:r>
          </w:p>
        </w:tc>
        <w:tc>
          <w:tcPr>
            <w:tcW w:w="0" w:type="dxa"/>
            <w:vAlign w:val="bottom"/>
          </w:tcPr>
          <w:p>
            <w:pPr>
              <w:spacing w:after="0"/>
              <w:rPr>
                <w:sz w:val="1"/>
                <w:szCs w:val="1"/>
                <w:color w:val="auto"/>
              </w:rPr>
            </w:pPr>
          </w:p>
        </w:tc>
      </w:tr>
      <w:tr>
        <w:trPr>
          <w:trHeight w:val="145"/>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gridSpan w:val="11"/>
          </w:tcPr>
          <w:p>
            <w:pPr>
              <w:spacing w:after="0" w:line="145" w:lineRule="exact"/>
              <w:rPr>
                <w:rFonts w:ascii="Times New Roman" w:cs="Times New Roman" w:eastAsia="Times New Roman" w:hAnsi="Times New Roman"/>
                <w:sz w:val="14"/>
                <w:szCs w:val="14"/>
                <w:color w:val="0000EE"/>
              </w:rPr>
            </w:pPr>
            <w:hyperlink r:id="rId35">
              <w:r>
                <w:rPr>
                  <w:rFonts w:ascii="Times New Roman" w:cs="Times New Roman" w:eastAsia="Times New Roman" w:hAnsi="Times New Roman"/>
                  <w:sz w:val="14"/>
                  <w:szCs w:val="14"/>
                  <w:color w:val="0000EE"/>
                </w:rPr>
                <w:t>Amended and Restated Articles of Association of</w:t>
              </w:r>
            </w:hyperlink>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4"/>
                <w:szCs w:val="14"/>
                <w:color w:val="auto"/>
              </w:rPr>
            </w:pPr>
          </w:p>
        </w:tc>
        <w:tc>
          <w:tcPr>
            <w:tcW w:w="23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4"/>
                <w:szCs w:val="14"/>
                <w:color w:val="0000EE"/>
              </w:rPr>
            </w:pPr>
            <w:hyperlink r:id="rId35">
              <w:r>
                <w:rPr>
                  <w:rFonts w:ascii="Times New Roman" w:cs="Times New Roman" w:eastAsia="Times New Roman" w:hAnsi="Times New Roman"/>
                  <w:sz w:val="14"/>
                  <w:szCs w:val="14"/>
                  <w:color w:val="0000EE"/>
                </w:rPr>
                <w:t>Quoin Pharmaceuticals Ltd., as amended</w:t>
              </w:r>
            </w:hyperlink>
          </w:p>
        </w:tc>
        <w:tc>
          <w:tcPr>
            <w:tcW w:w="480" w:type="dxa"/>
            <w:vAlign w:val="bottom"/>
            <w:tcBorders>
              <w:top w:val="single" w:sz="8" w:color="0000EE"/>
            </w:tcBorders>
            <w:gridSpan w:val="2"/>
          </w:tcPr>
          <w:p>
            <w:pPr>
              <w:spacing w:after="0"/>
              <w:rPr>
                <w:sz w:val="14"/>
                <w:szCs w:val="14"/>
                <w:color w:val="auto"/>
              </w:rPr>
            </w:pPr>
          </w:p>
        </w:tc>
        <w:tc>
          <w:tcPr>
            <w:tcW w:w="200" w:type="dxa"/>
            <w:vAlign w:val="bottom"/>
            <w:gridSpan w:val="5"/>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145"/>
              <w:spacing w:after="0"/>
              <w:rPr>
                <w:sz w:val="20"/>
                <w:szCs w:val="20"/>
                <w:color w:val="auto"/>
              </w:rPr>
            </w:pPr>
            <w:r>
              <w:rPr>
                <w:rFonts w:ascii="Times New Roman" w:cs="Times New Roman" w:eastAsia="Times New Roman" w:hAnsi="Times New Roman"/>
                <w:sz w:val="14"/>
                <w:szCs w:val="14"/>
                <w:color w:val="auto"/>
                <w:w w:val="97"/>
              </w:rPr>
              <w:t>10-K</w:t>
            </w:r>
          </w:p>
        </w:tc>
        <w:tc>
          <w:tcPr>
            <w:tcW w:w="1340" w:type="dxa"/>
            <w:vAlign w:val="bottom"/>
            <w:gridSpan w:val="2"/>
          </w:tcPr>
          <w:p>
            <w:pPr>
              <w:jc w:val="center"/>
              <w:ind w:left="85"/>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40" w:type="dxa"/>
            <w:vAlign w:val="bottom"/>
            <w:gridSpan w:val="12"/>
          </w:tcPr>
          <w:p>
            <w:pPr>
              <w:spacing w:after="0"/>
              <w:rPr>
                <w:rFonts w:ascii="Times New Roman" w:cs="Times New Roman" w:eastAsia="Times New Roman" w:hAnsi="Times New Roman"/>
                <w:sz w:val="14"/>
                <w:szCs w:val="14"/>
                <w:color w:val="0000EE"/>
              </w:rPr>
            </w:pPr>
            <w:hyperlink r:id="rId36">
              <w:r>
                <w:rPr>
                  <w:rFonts w:ascii="Times New Roman" w:cs="Times New Roman" w:eastAsia="Times New Roman" w:hAnsi="Times New Roman"/>
                  <w:sz w:val="14"/>
                  <w:szCs w:val="14"/>
                  <w:color w:val="0000EE"/>
                </w:rPr>
                <w:t>Amendments to Amended and Restated Articles of</w:t>
              </w:r>
            </w:hyperlink>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12"/>
          </w:tcPr>
          <w:p>
            <w:pPr>
              <w:spacing w:after="0"/>
              <w:rPr>
                <w:rFonts w:ascii="Times New Roman" w:cs="Times New Roman" w:eastAsia="Times New Roman" w:hAnsi="Times New Roman"/>
                <w:sz w:val="14"/>
                <w:szCs w:val="14"/>
                <w:color w:val="0000EE"/>
              </w:rPr>
            </w:pPr>
            <w:hyperlink r:id="rId36">
              <w:r>
                <w:rPr>
                  <w:rFonts w:ascii="Times New Roman" w:cs="Times New Roman" w:eastAsia="Times New Roman" w:hAnsi="Times New Roman"/>
                  <w:sz w:val="14"/>
                  <w:szCs w:val="14"/>
                  <w:color w:val="0000EE"/>
                </w:rPr>
                <w:t>Association of Quoin Pharmaceuticals Ltd., adopted</w:t>
              </w:r>
            </w:hyperlink>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160" w:type="dxa"/>
            <w:vAlign w:val="bottom"/>
          </w:tcPr>
          <w:p>
            <w:pPr>
              <w:spacing w:after="0"/>
              <w:rPr>
                <w:sz w:val="15"/>
                <w:szCs w:val="15"/>
                <w:color w:val="auto"/>
              </w:rPr>
            </w:pPr>
          </w:p>
        </w:tc>
        <w:tc>
          <w:tcPr>
            <w:tcW w:w="3000" w:type="dxa"/>
            <w:vAlign w:val="bottom"/>
            <w:tcBorders>
              <w:top w:val="single" w:sz="8" w:color="0000EE"/>
            </w:tcBorders>
            <w:gridSpan w:val="11"/>
          </w:tcPr>
          <w:p>
            <w:pPr>
              <w:spacing w:after="0"/>
              <w:rPr>
                <w:rFonts w:ascii="Times New Roman" w:cs="Times New Roman" w:eastAsia="Times New Roman" w:hAnsi="Times New Roman"/>
                <w:sz w:val="14"/>
                <w:szCs w:val="14"/>
                <w:color w:val="0000EE"/>
              </w:rPr>
            </w:pPr>
            <w:hyperlink r:id="rId36">
              <w:r>
                <w:rPr>
                  <w:rFonts w:ascii="Times New Roman" w:cs="Times New Roman" w:eastAsia="Times New Roman" w:hAnsi="Times New Roman"/>
                  <w:sz w:val="14"/>
                  <w:szCs w:val="14"/>
                  <w:color w:val="0000EE"/>
                </w:rPr>
                <w:t>on August 21, 2025</w:t>
              </w:r>
            </w:hyperlink>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right="145"/>
              <w:spacing w:after="0"/>
              <w:rPr>
                <w:sz w:val="20"/>
                <w:szCs w:val="20"/>
                <w:color w:val="auto"/>
              </w:rPr>
            </w:pPr>
            <w:r>
              <w:rPr>
                <w:rFonts w:ascii="Times New Roman" w:cs="Times New Roman" w:eastAsia="Times New Roman" w:hAnsi="Times New Roman"/>
                <w:sz w:val="14"/>
                <w:szCs w:val="14"/>
                <w:color w:val="auto"/>
              </w:rPr>
              <w:t>8-K</w:t>
            </w:r>
          </w:p>
        </w:tc>
        <w:tc>
          <w:tcPr>
            <w:tcW w:w="1340" w:type="dxa"/>
            <w:vAlign w:val="bottom"/>
            <w:gridSpan w:val="2"/>
          </w:tcPr>
          <w:p>
            <w:pPr>
              <w:jc w:val="center"/>
              <w:ind w:left="85"/>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21, 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rPr>
              <w:t>Certification of Chief Executive Officer pursuant to</w:t>
            </w:r>
          </w:p>
        </w:tc>
        <w:tc>
          <w:tcPr>
            <w:tcW w:w="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Rule 13a-14(a) or Rule 15d-14(a) under the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160" w:type="dxa"/>
            <w:vAlign w:val="bottom"/>
          </w:tcPr>
          <w:p>
            <w:pPr>
              <w:spacing w:after="0"/>
              <w:rPr>
                <w:sz w:val="15"/>
                <w:szCs w:val="15"/>
                <w:color w:val="auto"/>
              </w:rPr>
            </w:pPr>
          </w:p>
        </w:tc>
        <w:tc>
          <w:tcPr>
            <w:tcW w:w="25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rPr>
              <w:t>Securities Exchange Act of 1934.</w:t>
            </w:r>
          </w:p>
        </w:tc>
        <w:tc>
          <w:tcPr>
            <w:tcW w:w="540" w:type="dxa"/>
            <w:vAlign w:val="bottom"/>
            <w:gridSpan w:val="6"/>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8"/>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rPr>
              <w:t>Certification of Chief Financial Officer pursuant to</w:t>
            </w:r>
          </w:p>
        </w:tc>
        <w:tc>
          <w:tcPr>
            <w:tcW w:w="10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Rule 13a-14(a) or Rule 15d-14(a) under the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160" w:type="dxa"/>
            <w:vAlign w:val="bottom"/>
          </w:tcPr>
          <w:p>
            <w:pPr>
              <w:spacing w:after="0"/>
              <w:rPr>
                <w:sz w:val="15"/>
                <w:szCs w:val="15"/>
                <w:color w:val="auto"/>
              </w:rPr>
            </w:pPr>
          </w:p>
        </w:tc>
        <w:tc>
          <w:tcPr>
            <w:tcW w:w="25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rPr>
              <w:t>Securities Exchange Act of 1934.</w:t>
            </w:r>
          </w:p>
        </w:tc>
        <w:tc>
          <w:tcPr>
            <w:tcW w:w="540" w:type="dxa"/>
            <w:vAlign w:val="bottom"/>
            <w:gridSpan w:val="6"/>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8"/>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rPr>
              <w:t>Certification of Chief Executive Officer pursuant to</w:t>
            </w:r>
          </w:p>
        </w:tc>
        <w:tc>
          <w:tcPr>
            <w:tcW w:w="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restart"/>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8"/>
              </w:rPr>
              <w:t>X</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160" w:type="dxa"/>
            <w:vAlign w:val="bottom"/>
          </w:tcPr>
          <w:p>
            <w:pPr>
              <w:spacing w:after="0"/>
              <w:rPr>
                <w:sz w:val="14"/>
                <w:szCs w:val="14"/>
                <w:color w:val="auto"/>
              </w:rPr>
            </w:pPr>
          </w:p>
        </w:tc>
        <w:tc>
          <w:tcPr>
            <w:tcW w:w="3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18 U.S.C. § 1350.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rPr>
              <w:t>Certification of Chief Financial Officer pursuant to</w:t>
            </w:r>
          </w:p>
        </w:tc>
        <w:tc>
          <w:tcPr>
            <w:tcW w:w="10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restart"/>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8"/>
              </w:rPr>
              <w:t>X</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160" w:type="dxa"/>
            <w:vAlign w:val="bottom"/>
          </w:tcPr>
          <w:p>
            <w:pPr>
              <w:spacing w:after="0"/>
              <w:rPr>
                <w:sz w:val="14"/>
                <w:szCs w:val="14"/>
                <w:color w:val="auto"/>
              </w:rPr>
            </w:pPr>
          </w:p>
        </w:tc>
        <w:tc>
          <w:tcPr>
            <w:tcW w:w="3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18 U.S.C. § 1350.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Information formatted Inline XBRL (eXtensible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Business Reporting Language): (i) Consolidated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Balance Sheets, (ii) Consolidated Statements of</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Operations and Other Comprehensive Loss, (iii)</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Consolidated Statements of Shareholders’ Equity,</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(iv) Consolidated Statements of Cash Flows, and (v)</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restart"/>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8"/>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60" w:type="dxa"/>
            <w:vAlign w:val="bottom"/>
          </w:tcPr>
          <w:p>
            <w:pPr>
              <w:spacing w:after="0"/>
              <w:rPr>
                <w:sz w:val="16"/>
                <w:szCs w:val="16"/>
                <w:color w:val="auto"/>
              </w:rPr>
            </w:pPr>
          </w:p>
        </w:tc>
        <w:tc>
          <w:tcPr>
            <w:tcW w:w="3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the Inline XBRL document and included in Exhibit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8"/>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wp:posOffset>
            </wp:positionV>
            <wp:extent cx="1568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97" w:lineRule="exact"/>
        <w:rPr>
          <w:sz w:val="20"/>
          <w:szCs w:val="20"/>
          <w:color w:val="auto"/>
        </w:rPr>
      </w:pPr>
    </w:p>
    <w:p>
      <w:pPr>
        <w:ind w:right="100" w:firstLine="8"/>
        <w:spacing w:after="0" w:line="261" w:lineRule="auto"/>
        <w:tabs>
          <w:tab w:leader="none" w:pos="10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certifications are not deemed filed by the SEC and are not to be incorporated by reference in any filing we make under the Securities Act of 1933 or the Securities Exchange Act of 1934, irrespective of any general incorporation language in any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Quoin Pharmaceuticals Ltd.</w:t>
      </w:r>
    </w:p>
    <w:p>
      <w:pPr>
        <w:spacing w:after="0" w:line="229"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8"/>
          <w:szCs w:val="18"/>
          <w:color w:val="auto"/>
        </w:rPr>
        <w:t>By:/s/ Sally Lawlor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17145</wp:posOffset>
            </wp:positionV>
            <wp:extent cx="29743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Name: Sally Lawlor</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Michael Myers,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Quoin Pharmaceuticals Ltd.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 Michael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Dr. Michael Myers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Sally Lawlor,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Quoin Pharmaceuticals Ltd.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Sally Lawlor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Sally Lawlor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Quoin Pharmaceuticals Ltd. (the “Company”) for the quarter ended March 31, 2026, as filed with the Securities and Exchange Commission on the date hereof (the “Report”), I, Dr. Michael Myers, Chief Executive Officer of the Company, certify, pursuant to 18 U.S.C. § 1350, as adopted pursuant to § 906 of the Sarbanes-Oxley Act of 2002, that, to the best of my knowledge:</w:t>
      </w:r>
    </w:p>
    <w:p>
      <w:pPr>
        <w:spacing w:after="0" w:line="180" w:lineRule="exact"/>
        <w:rPr>
          <w:sz w:val="20"/>
          <w:szCs w:val="20"/>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 Michael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Dr. Michael Myers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Quoin Pharmaceuticals Ltd. (the “Company”) for the quarter ended March 31, 2026, as filed with the Securities and Exchange Commission on the date hereof (the “Report”), I, Sally Lawlor, Chief Financial Officer of the Company, certify, pursuant to 18 U.S.C. § 1350, as adopted pursuant to § 906 of the Sarbanes-Oxley Act of 2002, that, to the best of my knowledge:</w:t>
      </w:r>
    </w:p>
    <w:p>
      <w:pPr>
        <w:spacing w:after="0" w:line="180" w:lineRule="exact"/>
        <w:rPr>
          <w:sz w:val="20"/>
          <w:szCs w:val="20"/>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Sally Lawlor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Sally Lawlor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Roman"/>
      <w:start w:val="2"/>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35" Type="http://schemas.openxmlformats.org/officeDocument/2006/relationships/hyperlink" Target="https://www.sec.gov/Archives/edgar/data/1671502/000141057825000336/qnrx-20241231xex3d1.htm" TargetMode="External"/><Relationship Id="rId36" Type="http://schemas.openxmlformats.org/officeDocument/2006/relationships/hyperlink" Target="https://www.sec.gov/Archives/edgar/data/1671502/000110465925081480/tm2524078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2026-05-07T12:37:38Z</dcterms:created>
  <dcterms:modified xsi:type="dcterms:W3CDTF">2026-05-07T12:37:38Z</dcterms:modified>
</cp:coreProperties>
</file>